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2D" w:rsidRPr="00ED480F" w:rsidRDefault="0074122D" w:rsidP="0074122D">
      <w:pPr>
        <w:tabs>
          <w:tab w:val="left" w:pos="1080"/>
        </w:tabs>
        <w:spacing w:before="240"/>
        <w:jc w:val="both"/>
        <w:rPr>
          <w:rFonts w:cs="Times New Roman"/>
          <w:szCs w:val="24"/>
        </w:rPr>
      </w:pPr>
      <w:r w:rsidRPr="00ED480F">
        <w:rPr>
          <w:rFonts w:cs="Times New Roman"/>
          <w:bCs/>
          <w:szCs w:val="24"/>
        </w:rPr>
        <w:t>Interestingly, when Tertullian (</w:t>
      </w:r>
      <w:r w:rsidRPr="00ED480F">
        <w:rPr>
          <w:rFonts w:cs="Times New Roman"/>
          <w:bCs/>
          <w:i/>
          <w:szCs w:val="24"/>
        </w:rPr>
        <w:t>An Answer to the Jews</w:t>
      </w:r>
      <w:r w:rsidRPr="00ED480F">
        <w:rPr>
          <w:rFonts w:cs="Times New Roman"/>
          <w:bCs/>
          <w:szCs w:val="24"/>
        </w:rPr>
        <w:t>, 8) informed his readers of the sanctifying of the water by his Jesus’ baptism, he also noted that Christ sealed (</w:t>
      </w:r>
      <w:proofErr w:type="spellStart"/>
      <w:r w:rsidRPr="00ED480F">
        <w:rPr>
          <w:rFonts w:cs="Times New Roman"/>
          <w:bCs/>
          <w:i/>
          <w:szCs w:val="24"/>
        </w:rPr>
        <w:t>signo</w:t>
      </w:r>
      <w:proofErr w:type="spellEnd"/>
      <w:r w:rsidRPr="00ED480F">
        <w:rPr>
          <w:rFonts w:cs="Times New Roman"/>
          <w:bCs/>
          <w:szCs w:val="24"/>
        </w:rPr>
        <w:t xml:space="preserve">; mark or inscribe </w:t>
      </w:r>
      <w:r w:rsidRPr="00ED480F">
        <w:rPr>
          <w:rFonts w:cs="Times New Roman"/>
          <w:szCs w:val="24"/>
        </w:rPr>
        <w:t>(</w:t>
      </w:r>
      <w:proofErr w:type="spellStart"/>
      <w:r w:rsidRPr="00ED480F">
        <w:rPr>
          <w:rFonts w:cs="Times New Roman"/>
          <w:szCs w:val="24"/>
        </w:rPr>
        <w:t>Morwood</w:t>
      </w:r>
      <w:proofErr w:type="spellEnd"/>
      <w:r w:rsidRPr="00ED480F">
        <w:rPr>
          <w:rFonts w:cs="Times New Roman"/>
          <w:szCs w:val="24"/>
        </w:rPr>
        <w:t>, 2005: 174)</w:t>
      </w:r>
      <w:r w:rsidRPr="00ED480F">
        <w:rPr>
          <w:rFonts w:cs="Times New Roman"/>
          <w:bCs/>
          <w:szCs w:val="24"/>
        </w:rPr>
        <w:t>) visions and prophecies by his advent (</w:t>
      </w:r>
      <w:proofErr w:type="spellStart"/>
      <w:r w:rsidRPr="00ED480F">
        <w:rPr>
          <w:rFonts w:cs="Times New Roman"/>
          <w:bCs/>
          <w:i/>
          <w:szCs w:val="24"/>
        </w:rPr>
        <w:t>adventus</w:t>
      </w:r>
      <w:proofErr w:type="spellEnd"/>
      <w:r w:rsidRPr="00ED480F">
        <w:rPr>
          <w:rFonts w:cs="Times New Roman"/>
          <w:bCs/>
          <w:szCs w:val="24"/>
        </w:rPr>
        <w:t>). He states that the advent fulfilled (</w:t>
      </w:r>
      <w:proofErr w:type="spellStart"/>
      <w:r w:rsidRPr="00ED480F">
        <w:rPr>
          <w:rFonts w:cs="Times New Roman"/>
          <w:bCs/>
          <w:i/>
          <w:szCs w:val="24"/>
        </w:rPr>
        <w:t>adimplevit</w:t>
      </w:r>
      <w:proofErr w:type="spellEnd"/>
      <w:r w:rsidRPr="00ED480F">
        <w:rPr>
          <w:rFonts w:cs="Times New Roman"/>
          <w:bCs/>
          <w:szCs w:val="24"/>
        </w:rPr>
        <w:t>) this. While not designed as such, this certainly could be commentary on Matthew 5:17 and Jesus’ insistence that his coming (</w:t>
      </w:r>
      <w:proofErr w:type="spellStart"/>
      <w:r>
        <w:rPr>
          <w:rFonts w:cs="Times New Roman"/>
          <w:bCs/>
          <w:i/>
          <w:szCs w:val="24"/>
        </w:rPr>
        <w:t>ēlthon</w:t>
      </w:r>
      <w:proofErr w:type="spellEnd"/>
      <w:r w:rsidRPr="00ED480F">
        <w:rPr>
          <w:rFonts w:cs="Times New Roman"/>
          <w:bCs/>
          <w:szCs w:val="24"/>
        </w:rPr>
        <w:t>) was with the specific purpose of fully satisfying the will of God, which naturally includes the covenant law.</w:t>
      </w:r>
    </w:p>
    <w:p w:rsidR="0074122D" w:rsidRPr="00ED480F" w:rsidRDefault="0074122D" w:rsidP="0074122D">
      <w:pPr>
        <w:tabs>
          <w:tab w:val="left" w:pos="1080"/>
        </w:tabs>
        <w:spacing w:before="240"/>
        <w:jc w:val="both"/>
        <w:rPr>
          <w:rFonts w:cs="Times New Roman"/>
          <w:szCs w:val="24"/>
        </w:rPr>
      </w:pPr>
      <w:r w:rsidRPr="00ED480F">
        <w:rPr>
          <w:rFonts w:cs="Times New Roman"/>
          <w:bCs/>
          <w:szCs w:val="24"/>
        </w:rPr>
        <w:t>The covenant of Jeremiah 31 is written on the heart, finding satisfaction in the ontology of Matthew’s fulfiller. The Christological emphasis of righteousness and sonship established the forthcoming “but I say to you” that is the authority recognized by the audience. Meier (1976: 41) sets the stage for the words that are pivotal to understanding the relations</w:t>
      </w:r>
      <w:r>
        <w:rPr>
          <w:rFonts w:cs="Times New Roman"/>
          <w:bCs/>
          <w:szCs w:val="24"/>
        </w:rPr>
        <w:t>hip between Jesus and the law, noting that 5:17-20 is positioned prominently in the Gospel. “</w:t>
      </w:r>
      <w:r w:rsidRPr="00ED480F">
        <w:rPr>
          <w:rFonts w:cs="Times New Roman"/>
          <w:bCs/>
          <w:szCs w:val="24"/>
        </w:rPr>
        <w:t xml:space="preserve">Preceding all the </w:t>
      </w:r>
      <w:proofErr w:type="spellStart"/>
      <w:r w:rsidRPr="00ED480F">
        <w:rPr>
          <w:rFonts w:cs="Times New Roman"/>
          <w:bCs/>
          <w:i/>
          <w:iCs/>
          <w:szCs w:val="24"/>
        </w:rPr>
        <w:t>Streitgesprache</w:t>
      </w:r>
      <w:proofErr w:type="spellEnd"/>
      <w:r w:rsidRPr="00ED480F">
        <w:rPr>
          <w:rFonts w:cs="Times New Roman"/>
          <w:bCs/>
          <w:szCs w:val="24"/>
        </w:rPr>
        <w:t xml:space="preserve"> and other ‘legal’ material as it does</w:t>
      </w:r>
      <w:r>
        <w:rPr>
          <w:rFonts w:cs="Times New Roman"/>
          <w:bCs/>
          <w:szCs w:val="24"/>
        </w:rPr>
        <w:t>”, Matthew introduces Jesus and his view on the law. As such, this passage offers more problems than any or all of the rest of Matthew.</w:t>
      </w:r>
    </w:p>
    <w:p w:rsidR="0074122D" w:rsidRPr="00ED480F" w:rsidRDefault="006F5B0D" w:rsidP="0074122D">
      <w:pPr>
        <w:tabs>
          <w:tab w:val="left" w:pos="1080"/>
        </w:tabs>
        <w:spacing w:before="480"/>
        <w:jc w:val="both"/>
        <w:rPr>
          <w:rFonts w:cs="Times New Roman"/>
          <w:szCs w:val="24"/>
        </w:rPr>
      </w:pPr>
      <w:r>
        <w:t>Gardner</w:t>
      </w:r>
      <w:r>
        <w:t xml:space="preserve"> (</w:t>
      </w:r>
      <w:r>
        <w:t>1991,</w:t>
      </w:r>
      <w:bookmarkStart w:id="0" w:name="_GoBack"/>
      <w:bookmarkEnd w:id="0"/>
      <w:r>
        <w:t xml:space="preserve"> 132)</w:t>
      </w:r>
      <w:r>
        <w:t xml:space="preserve"> </w:t>
      </w:r>
      <w:r w:rsidR="0074122D" w:rsidRPr="00ED480F">
        <w:rPr>
          <w:rFonts w:cs="Times New Roman"/>
          <w:bCs/>
          <w:szCs w:val="24"/>
        </w:rPr>
        <w:t xml:space="preserve">considers verse 20 to be summation of the Sermon. From a contemporary perspective, it would be considered the text from which Jesus preached. With a single challenge, Jesus elevates his teachings above formative Judaism. Carter </w:t>
      </w:r>
      <w:r w:rsidR="0074122D" w:rsidRPr="00ED480F">
        <w:rPr>
          <w:rFonts w:cs="Times New Roman"/>
          <w:szCs w:val="24"/>
        </w:rPr>
        <w:t>(1994: 45)</w:t>
      </w:r>
      <w:r w:rsidR="0074122D" w:rsidRPr="00ED480F">
        <w:rPr>
          <w:rFonts w:cs="Times New Roman"/>
          <w:bCs/>
          <w:szCs w:val="24"/>
        </w:rPr>
        <w:t xml:space="preserve"> suggests this is the “thematic sentence”. The beatitudes, the salt and light parables, the Halakah on the law, and the stringent responsibilities put on the hearers mandate the listeners’ responsibility in response to the sermon, anticipating that his audience would exceed the most prolific example of what was considered as righteousness</w:t>
      </w:r>
      <w:r w:rsidR="0074122D">
        <w:rPr>
          <w:rFonts w:cs="Times New Roman"/>
          <w:bCs/>
          <w:szCs w:val="24"/>
        </w:rPr>
        <w:t>—</w:t>
      </w:r>
      <w:r w:rsidR="0074122D" w:rsidRPr="00ED480F">
        <w:rPr>
          <w:rFonts w:cs="Times New Roman"/>
          <w:bCs/>
          <w:szCs w:val="24"/>
        </w:rPr>
        <w:t xml:space="preserve">the Pharisee. This verse then becomes the key to understanding not only the current text, but also the whole of the sermon. Additionally, it becomes the apex for the scene moving from the </w:t>
      </w:r>
      <w:r w:rsidR="0074122D">
        <w:rPr>
          <w:rFonts w:cs="Times New Roman"/>
          <w:bCs/>
          <w:szCs w:val="24"/>
        </w:rPr>
        <w:t>fulfilment</w:t>
      </w:r>
      <w:r w:rsidR="0074122D" w:rsidRPr="00ED480F">
        <w:rPr>
          <w:rFonts w:cs="Times New Roman"/>
          <w:bCs/>
          <w:szCs w:val="24"/>
        </w:rPr>
        <w:t xml:space="preserve"> of righteousness via the demonstration and testing of sonship to the question of the law. </w:t>
      </w:r>
    </w:p>
    <w:p w:rsidR="0074122D" w:rsidRPr="00ED480F" w:rsidRDefault="0074122D" w:rsidP="0074122D">
      <w:pPr>
        <w:tabs>
          <w:tab w:val="left" w:pos="1080"/>
        </w:tabs>
        <w:spacing w:before="240"/>
        <w:jc w:val="both"/>
        <w:rPr>
          <w:rFonts w:cs="Times New Roman"/>
          <w:szCs w:val="24"/>
        </w:rPr>
      </w:pPr>
      <w:r w:rsidRPr="00ED480F">
        <w:rPr>
          <w:rFonts w:cs="Times New Roman"/>
          <w:bCs/>
          <w:szCs w:val="24"/>
        </w:rPr>
        <w:t>As a wise prophet, Jesus’ begins by congratulating his audience for desiring true happiness (</w:t>
      </w:r>
      <w:proofErr w:type="spellStart"/>
      <w:r w:rsidRPr="00ED480F">
        <w:rPr>
          <w:rFonts w:cs="Times New Roman"/>
          <w:bCs/>
          <w:i/>
          <w:szCs w:val="24"/>
        </w:rPr>
        <w:t>makarioi</w:t>
      </w:r>
      <w:proofErr w:type="spellEnd"/>
      <w:r w:rsidRPr="00ED480F">
        <w:rPr>
          <w:rFonts w:cs="Times New Roman"/>
          <w:bCs/>
          <w:szCs w:val="24"/>
        </w:rPr>
        <w:t xml:space="preserve">). The one who is truly happy finds it in the fullest expression of the law. Taken as a whole, the list of characteristics would be reminiscent of a blessed land flowing with milk and honey as recalled by the Deuteronomic writer (6:3). The religious significance of this phrase (milk and honey) in the cultic history cannot be overlooked. Stern </w:t>
      </w:r>
      <w:r w:rsidRPr="00ED480F">
        <w:rPr>
          <w:rFonts w:cs="Times New Roman"/>
          <w:szCs w:val="24"/>
        </w:rPr>
        <w:t>(1992: 555)</w:t>
      </w:r>
      <w:r w:rsidRPr="00ED480F">
        <w:rPr>
          <w:rFonts w:cs="Times New Roman"/>
          <w:bCs/>
          <w:szCs w:val="24"/>
        </w:rPr>
        <w:t xml:space="preserve"> reveals that the </w:t>
      </w:r>
      <w:r w:rsidRPr="00ED480F">
        <w:rPr>
          <w:rFonts w:cs="Times New Roman"/>
          <w:bCs/>
          <w:szCs w:val="24"/>
        </w:rPr>
        <w:lastRenderedPageBreak/>
        <w:t xml:space="preserve">various cultures (Canaanite, Babylon, etc.) understand this as God’s provision. Merrill </w:t>
      </w:r>
      <w:r w:rsidRPr="00ED480F">
        <w:rPr>
          <w:rFonts w:cs="Times New Roman"/>
          <w:szCs w:val="24"/>
        </w:rPr>
        <w:t>(2001: 161)</w:t>
      </w:r>
      <w:r w:rsidRPr="00ED480F">
        <w:rPr>
          <w:rFonts w:cs="Times New Roman"/>
          <w:bCs/>
          <w:szCs w:val="24"/>
        </w:rPr>
        <w:t xml:space="preserve"> describes this phrase as having two commodities that are the product of agriculture and nature, representing the full blessing of God’s promises. In the same way, the </w:t>
      </w:r>
      <w:proofErr w:type="spellStart"/>
      <w:r w:rsidRPr="00ED480F">
        <w:rPr>
          <w:rFonts w:cs="Times New Roman"/>
          <w:bCs/>
          <w:i/>
          <w:szCs w:val="24"/>
        </w:rPr>
        <w:t>makarioi</w:t>
      </w:r>
      <w:proofErr w:type="spellEnd"/>
      <w:r w:rsidRPr="00ED480F">
        <w:rPr>
          <w:rFonts w:cs="Times New Roman"/>
          <w:bCs/>
          <w:szCs w:val="24"/>
        </w:rPr>
        <w:t xml:space="preserve"> are to be congratulated </w:t>
      </w:r>
      <w:r w:rsidRPr="00ED480F">
        <w:rPr>
          <w:rFonts w:cs="Times New Roman"/>
          <w:szCs w:val="24"/>
        </w:rPr>
        <w:t>“because of God’s response to their behaviour or situation” (Blomberg, 2001: 97). The Greek view of happiness is divided between the classes. The common citizen (</w:t>
      </w:r>
      <w:r w:rsidRPr="00ED480F">
        <w:rPr>
          <w:rFonts w:cs="Times New Roman"/>
          <w:i/>
          <w:szCs w:val="24"/>
        </w:rPr>
        <w:t>hoi poll</w:t>
      </w:r>
      <w:r>
        <w:rPr>
          <w:rFonts w:cs="Times New Roman"/>
          <w:i/>
          <w:szCs w:val="24"/>
        </w:rPr>
        <w:t>o</w:t>
      </w:r>
      <w:r w:rsidRPr="00ED480F">
        <w:rPr>
          <w:rFonts w:cs="Times New Roman"/>
          <w:i/>
          <w:szCs w:val="24"/>
        </w:rPr>
        <w:t>i</w:t>
      </w:r>
      <w:r w:rsidRPr="00ED480F">
        <w:rPr>
          <w:rFonts w:cs="Times New Roman"/>
          <w:szCs w:val="24"/>
        </w:rPr>
        <w:t xml:space="preserve">) think happiness is found in pleasure, wealth, and honour. However, the “people of quality” (Aristotle, </w:t>
      </w:r>
      <w:r w:rsidRPr="00ED480F">
        <w:rPr>
          <w:rFonts w:cs="Times New Roman"/>
          <w:i/>
          <w:iCs/>
          <w:szCs w:val="24"/>
        </w:rPr>
        <w:t>Nicomachean Ethics</w:t>
      </w:r>
      <w:r w:rsidRPr="00ED480F">
        <w:rPr>
          <w:rFonts w:cs="Times New Roman"/>
          <w:iCs/>
          <w:szCs w:val="24"/>
        </w:rPr>
        <w:t xml:space="preserve">, 1095a; lit. </w:t>
      </w:r>
      <w:r w:rsidRPr="00ED480F">
        <w:rPr>
          <w:rFonts w:cs="Times New Roman"/>
          <w:i/>
          <w:iCs/>
          <w:szCs w:val="24"/>
        </w:rPr>
        <w:t xml:space="preserve">hoi </w:t>
      </w:r>
      <w:proofErr w:type="spellStart"/>
      <w:r w:rsidRPr="00ED480F">
        <w:rPr>
          <w:rFonts w:cs="Times New Roman"/>
          <w:i/>
          <w:iCs/>
          <w:szCs w:val="24"/>
        </w:rPr>
        <w:t>charientes</w:t>
      </w:r>
      <w:proofErr w:type="spellEnd"/>
      <w:r w:rsidRPr="00ED480F">
        <w:rPr>
          <w:rFonts w:cs="Times New Roman"/>
          <w:iCs/>
          <w:szCs w:val="24"/>
        </w:rPr>
        <w:t>, the graced ones) would say that while the other has some effect on happiness, e</w:t>
      </w:r>
      <w:r w:rsidRPr="00ED480F">
        <w:rPr>
          <w:rFonts w:cs="Times New Roman"/>
          <w:bCs/>
          <w:szCs w:val="24"/>
        </w:rPr>
        <w:t xml:space="preserve">xcellence and proper reflection are much more fundamental in shaping their perspective of happiness </w:t>
      </w:r>
      <w:r w:rsidRPr="00ED480F">
        <w:rPr>
          <w:rFonts w:cs="Times New Roman"/>
          <w:szCs w:val="24"/>
        </w:rPr>
        <w:t>(Miller, 2010: 596)</w:t>
      </w:r>
      <w:r w:rsidRPr="00ED480F">
        <w:rPr>
          <w:rFonts w:cs="Times New Roman"/>
          <w:bCs/>
          <w:szCs w:val="24"/>
        </w:rPr>
        <w:t xml:space="preserve">. France </w:t>
      </w:r>
      <w:r w:rsidRPr="00ED480F">
        <w:rPr>
          <w:rFonts w:cs="Times New Roman"/>
          <w:szCs w:val="24"/>
        </w:rPr>
        <w:t>(1985: 114)</w:t>
      </w:r>
      <w:r w:rsidRPr="00ED480F">
        <w:rPr>
          <w:rFonts w:cs="Times New Roman"/>
          <w:bCs/>
          <w:szCs w:val="24"/>
        </w:rPr>
        <w:t xml:space="preserve"> senses the same in his description of happiness as a condition of life realized in the intrinsic value and the outcome (right living). Thus, whether for the Jew or Greek, it is obvious that Jesus elevates happiness to mean the blessings of God related to his promises. The resulting lifestyle becomes salt and light to whomever sees this individual. Beginning here, Jesus has established that there is a higher plain that is achievable that does not seem to be dependent on the law. Following this produces appropriate actions. Matthew (as a compiler) has now set up his audience (his church community) with a model of discipleship that ensures that they are following Jesus (</w:t>
      </w:r>
      <w:proofErr w:type="spellStart"/>
      <w:r w:rsidRPr="00ED480F">
        <w:rPr>
          <w:rFonts w:cs="Times New Roman"/>
          <w:szCs w:val="24"/>
        </w:rPr>
        <w:t>Viljoen</w:t>
      </w:r>
      <w:proofErr w:type="spellEnd"/>
      <w:r w:rsidRPr="00ED480F">
        <w:rPr>
          <w:rFonts w:cs="Times New Roman"/>
          <w:szCs w:val="24"/>
        </w:rPr>
        <w:t>, 2011: 390)</w:t>
      </w:r>
      <w:r w:rsidRPr="00ED480F">
        <w:rPr>
          <w:rFonts w:cs="Times New Roman"/>
          <w:bCs/>
          <w:szCs w:val="24"/>
        </w:rPr>
        <w:t>.</w:t>
      </w:r>
    </w:p>
    <w:p w:rsidR="00B131C0" w:rsidRDefault="0074122D" w:rsidP="0074122D">
      <w:pPr>
        <w:tabs>
          <w:tab w:val="left" w:pos="1080"/>
        </w:tabs>
        <w:spacing w:before="240"/>
        <w:jc w:val="both"/>
        <w:rPr>
          <w:rFonts w:cs="Times New Roman"/>
          <w:bCs/>
          <w:szCs w:val="24"/>
        </w:rPr>
      </w:pPr>
      <w:r w:rsidRPr="00ED480F">
        <w:rPr>
          <w:rFonts w:cs="Times New Roman"/>
          <w:bCs/>
          <w:szCs w:val="24"/>
        </w:rPr>
        <w:t xml:space="preserve">With this introduction, Jesus would seem to be exposed to questions regarding the continuing validity and benefit of the Law of Moses. While there is no evidence that Jesus was accused of misrepresenting the law, he begins his </w:t>
      </w:r>
      <w:r>
        <w:rPr>
          <w:rFonts w:cs="Times New Roman"/>
          <w:bCs/>
          <w:szCs w:val="24"/>
        </w:rPr>
        <w:t>fulfilment</w:t>
      </w:r>
      <w:r w:rsidRPr="00ED480F">
        <w:rPr>
          <w:rFonts w:cs="Times New Roman"/>
          <w:bCs/>
          <w:szCs w:val="24"/>
        </w:rPr>
        <w:t xml:space="preserve"> statement with a </w:t>
      </w:r>
      <w:r>
        <w:rPr>
          <w:rFonts w:cs="Times New Roman"/>
          <w:bCs/>
          <w:szCs w:val="24"/>
        </w:rPr>
        <w:t>defence</w:t>
      </w:r>
      <w:r w:rsidRPr="00ED480F">
        <w:rPr>
          <w:rFonts w:cs="Times New Roman"/>
          <w:bCs/>
          <w:szCs w:val="24"/>
        </w:rPr>
        <w:t xml:space="preserve"> of his right to speak to the law and fulfil it. As noted in the previous chapter, this is driven by </w:t>
      </w:r>
      <w:proofErr w:type="spellStart"/>
      <w:r>
        <w:rPr>
          <w:rFonts w:cs="Times New Roman"/>
          <w:bCs/>
          <w:i/>
          <w:szCs w:val="24"/>
        </w:rPr>
        <w:t>ēlthon</w:t>
      </w:r>
      <w:proofErr w:type="spellEnd"/>
      <w:r w:rsidRPr="00ED480F">
        <w:rPr>
          <w:rFonts w:cs="Times New Roman"/>
          <w:bCs/>
          <w:szCs w:val="24"/>
        </w:rPr>
        <w:t xml:space="preserve">. This is a Matthean expression with Christological significance </w:t>
      </w:r>
      <w:r w:rsidRPr="00ED480F">
        <w:rPr>
          <w:rFonts w:cs="Times New Roman"/>
          <w:szCs w:val="24"/>
        </w:rPr>
        <w:t>(Banks, 1974: 227)</w:t>
      </w:r>
      <w:r w:rsidRPr="00ED480F">
        <w:rPr>
          <w:rFonts w:cs="Times New Roman"/>
          <w:bCs/>
          <w:szCs w:val="24"/>
        </w:rPr>
        <w:t xml:space="preserve">. It occurs five other times with similar force (9:13; 10:34 11:19; 18:11; 20:28). Banks </w:t>
      </w:r>
      <w:r w:rsidRPr="00ED480F">
        <w:rPr>
          <w:rFonts w:cs="Times New Roman"/>
          <w:szCs w:val="24"/>
        </w:rPr>
        <w:t>(1974: 227)</w:t>
      </w:r>
      <w:r w:rsidRPr="00ED480F">
        <w:rPr>
          <w:rFonts w:cs="Times New Roman"/>
          <w:bCs/>
          <w:szCs w:val="24"/>
        </w:rPr>
        <w:t xml:space="preserve"> senses that this may be redacted in 5:17 by Matthew to enhance the Christological importance of Jesus' work. Redacted or not, it certainly carries Christological weight as it precedes the authoritative Halakah to follow. Having established his </w:t>
      </w:r>
      <w:r>
        <w:rPr>
          <w:rFonts w:cs="Times New Roman"/>
          <w:bCs/>
          <w:szCs w:val="24"/>
        </w:rPr>
        <w:t>right</w:t>
      </w:r>
      <w:r w:rsidRPr="00ED480F">
        <w:rPr>
          <w:rFonts w:cs="Times New Roman"/>
          <w:bCs/>
          <w:szCs w:val="24"/>
        </w:rPr>
        <w:t xml:space="preserve"> to speak to matters of the law, Jesus makes a startling statement </w:t>
      </w:r>
      <w:r>
        <w:rPr>
          <w:rFonts w:cs="Times New Roman"/>
          <w:bCs/>
          <w:szCs w:val="24"/>
        </w:rPr>
        <w:t>that</w:t>
      </w:r>
      <w:r w:rsidRPr="00ED480F">
        <w:rPr>
          <w:rFonts w:cs="Times New Roman"/>
          <w:bCs/>
          <w:szCs w:val="24"/>
        </w:rPr>
        <w:t xml:space="preserve"> re-energizes the law with a new perspective. The remarkable statement that is to follow elevates Jesus well above Moses who could only be a mediator of the law. He is not the messenger bringing the law. Rather, he is the essence of the law understood as the surpassing righteousness. To understand this</w:t>
      </w:r>
      <w:r w:rsidRPr="00352581">
        <w:rPr>
          <w:rFonts w:cs="Times New Roman"/>
          <w:bCs/>
          <w:szCs w:val="24"/>
        </w:rPr>
        <w:t xml:space="preserve"> </w:t>
      </w:r>
      <w:r w:rsidRPr="00ED480F">
        <w:rPr>
          <w:rFonts w:cs="Times New Roman"/>
          <w:bCs/>
          <w:szCs w:val="24"/>
        </w:rPr>
        <w:t>better, it is necessary to deconstruct this passage to see the integral parts.</w:t>
      </w:r>
    </w:p>
    <w:p w:rsidR="0074122D" w:rsidRDefault="00C947F4" w:rsidP="00C947F4">
      <w:pPr>
        <w:tabs>
          <w:tab w:val="left" w:pos="1080"/>
        </w:tabs>
        <w:jc w:val="both"/>
        <w:rPr>
          <w:rFonts w:cs="Times New Roman"/>
          <w:bCs/>
          <w:szCs w:val="24"/>
        </w:rPr>
      </w:pPr>
      <w:r>
        <w:rPr>
          <w:rFonts w:cs="Times New Roman"/>
          <w:bCs/>
          <w:szCs w:val="24"/>
        </w:rPr>
        <w:lastRenderedPageBreak/>
        <w:t>References</w:t>
      </w:r>
    </w:p>
    <w:p w:rsidR="00C5139E" w:rsidRPr="00237B6E" w:rsidRDefault="00C5139E" w:rsidP="00C5139E">
      <w:pPr>
        <w:pStyle w:val="Bibliography"/>
        <w:ind w:left="720" w:hanging="720"/>
        <w:rPr>
          <w:rFonts w:cs="Times New Roman"/>
          <w:noProof/>
          <w:szCs w:val="24"/>
        </w:rPr>
      </w:pPr>
      <w:r w:rsidRPr="00237B6E">
        <w:rPr>
          <w:rFonts w:cs="Times New Roman"/>
          <w:noProof/>
          <w:szCs w:val="24"/>
        </w:rPr>
        <w:t xml:space="preserve">Banks, R. (1974) 'Matthew's Understanding of the Law: Authenticity and Interpretation in Matthew 5:17-20', </w:t>
      </w:r>
      <w:r w:rsidRPr="00237B6E">
        <w:rPr>
          <w:rFonts w:cs="Times New Roman"/>
          <w:i/>
          <w:iCs/>
          <w:noProof/>
          <w:szCs w:val="24"/>
        </w:rPr>
        <w:t>Journal of Biblical Literature</w:t>
      </w:r>
      <w:r w:rsidRPr="00237B6E">
        <w:rPr>
          <w:rFonts w:cs="Times New Roman"/>
          <w:noProof/>
          <w:szCs w:val="24"/>
        </w:rPr>
        <w:t>, vol. 93, no. 2, June, pp. 226-242.</w:t>
      </w:r>
    </w:p>
    <w:p w:rsidR="00C5139E" w:rsidRPr="00237B6E" w:rsidRDefault="00C5139E" w:rsidP="006A682F">
      <w:pPr>
        <w:pStyle w:val="Bibliography"/>
        <w:ind w:left="720" w:hanging="720"/>
        <w:rPr>
          <w:rFonts w:cs="Times New Roman"/>
          <w:noProof/>
          <w:szCs w:val="24"/>
        </w:rPr>
      </w:pPr>
      <w:r w:rsidRPr="00237B6E">
        <w:rPr>
          <w:rFonts w:cs="Times New Roman"/>
          <w:noProof/>
          <w:szCs w:val="24"/>
        </w:rPr>
        <w:t xml:space="preserve">Blomberg, C. (2001) </w:t>
      </w:r>
      <w:r w:rsidRPr="00237B6E">
        <w:rPr>
          <w:rFonts w:cs="Times New Roman"/>
          <w:i/>
          <w:iCs/>
          <w:noProof/>
          <w:szCs w:val="24"/>
        </w:rPr>
        <w:t>Matthew</w:t>
      </w:r>
      <w:r w:rsidRPr="00237B6E">
        <w:rPr>
          <w:rFonts w:cs="Times New Roman"/>
          <w:noProof/>
          <w:szCs w:val="24"/>
        </w:rPr>
        <w:t>, Nashville, TN: Broadman &amp; Holman.</w:t>
      </w:r>
    </w:p>
    <w:p w:rsidR="00C5139E" w:rsidRPr="00237B6E" w:rsidRDefault="00C5139E" w:rsidP="00E04EFB">
      <w:pPr>
        <w:pStyle w:val="Bibliography"/>
        <w:ind w:left="720" w:hanging="720"/>
        <w:rPr>
          <w:rFonts w:cs="Times New Roman"/>
          <w:noProof/>
          <w:szCs w:val="24"/>
        </w:rPr>
      </w:pPr>
      <w:r w:rsidRPr="00237B6E">
        <w:rPr>
          <w:rFonts w:cs="Times New Roman"/>
          <w:noProof/>
          <w:szCs w:val="24"/>
        </w:rPr>
        <w:t xml:space="preserve">Carter, W. (1994) </w:t>
      </w:r>
      <w:r w:rsidRPr="00237B6E">
        <w:rPr>
          <w:rFonts w:cs="Times New Roman"/>
          <w:i/>
          <w:iCs/>
          <w:noProof/>
          <w:szCs w:val="24"/>
        </w:rPr>
        <w:t>What are they Saying about Matthew's Sermon on the Mount?</w:t>
      </w:r>
      <w:r w:rsidRPr="00237B6E">
        <w:rPr>
          <w:rFonts w:cs="Times New Roman"/>
          <w:noProof/>
          <w:szCs w:val="24"/>
        </w:rPr>
        <w:t>, New York, NY: Paulist Press.</w:t>
      </w:r>
    </w:p>
    <w:p w:rsidR="00C5139E" w:rsidRDefault="00C5139E" w:rsidP="006A682F">
      <w:pPr>
        <w:pStyle w:val="Bibliography"/>
        <w:ind w:left="720" w:hanging="720"/>
        <w:rPr>
          <w:rFonts w:cs="Times New Roman"/>
          <w:noProof/>
          <w:szCs w:val="24"/>
        </w:rPr>
      </w:pPr>
      <w:r w:rsidRPr="00237B6E">
        <w:rPr>
          <w:rFonts w:cs="Times New Roman"/>
          <w:noProof/>
          <w:szCs w:val="24"/>
        </w:rPr>
        <w:t xml:space="preserve">France, R.T. (1985) </w:t>
      </w:r>
      <w:r w:rsidRPr="00237B6E">
        <w:rPr>
          <w:rFonts w:cs="Times New Roman"/>
          <w:i/>
          <w:iCs/>
          <w:noProof/>
          <w:szCs w:val="24"/>
        </w:rPr>
        <w:t>Matthew</w:t>
      </w:r>
      <w:r w:rsidRPr="00237B6E">
        <w:rPr>
          <w:rFonts w:cs="Times New Roman"/>
          <w:noProof/>
          <w:szCs w:val="24"/>
        </w:rPr>
        <w:t>, Nottingham: Inter-Varsity Press.</w:t>
      </w:r>
    </w:p>
    <w:p w:rsidR="006F5B0D" w:rsidRPr="006F5B0D" w:rsidRDefault="006F5B0D" w:rsidP="006F5B0D">
      <w:r>
        <w:t xml:space="preserve">Gardner, Richard B. </w:t>
      </w:r>
      <w:r>
        <w:t>(</w:t>
      </w:r>
      <w:r>
        <w:t>1991)</w:t>
      </w:r>
      <w:r>
        <w:t xml:space="preserve"> </w:t>
      </w:r>
      <w:r>
        <w:rPr>
          <w:i/>
        </w:rPr>
        <w:t>Matthew</w:t>
      </w:r>
      <w:r>
        <w:t xml:space="preserve">, </w:t>
      </w:r>
      <w:proofErr w:type="spellStart"/>
      <w:r>
        <w:t>Scottdale</w:t>
      </w:r>
      <w:proofErr w:type="spellEnd"/>
      <w:r>
        <w:t>, PA: Herald Press</w:t>
      </w:r>
      <w:r w:rsidR="00C0777A">
        <w:t>.</w:t>
      </w:r>
    </w:p>
    <w:p w:rsidR="00C5139E" w:rsidRPr="00237B6E" w:rsidRDefault="00C5139E" w:rsidP="00E81B15">
      <w:pPr>
        <w:pStyle w:val="Bibliography"/>
        <w:ind w:left="720" w:hanging="720"/>
        <w:rPr>
          <w:rFonts w:cs="Times New Roman"/>
          <w:noProof/>
          <w:szCs w:val="24"/>
        </w:rPr>
      </w:pPr>
      <w:r w:rsidRPr="00237B6E">
        <w:rPr>
          <w:rFonts w:cs="Times New Roman"/>
          <w:noProof/>
          <w:szCs w:val="24"/>
        </w:rPr>
        <w:t xml:space="preserve">Meier, J.P. (1976) </w:t>
      </w:r>
      <w:r w:rsidRPr="00237B6E">
        <w:rPr>
          <w:rFonts w:cs="Times New Roman"/>
          <w:i/>
          <w:iCs/>
          <w:noProof/>
          <w:szCs w:val="24"/>
        </w:rPr>
        <w:t>Law and History in Matthew’s Gospel</w:t>
      </w:r>
      <w:r w:rsidRPr="00237B6E">
        <w:rPr>
          <w:rFonts w:cs="Times New Roman"/>
          <w:noProof/>
          <w:szCs w:val="24"/>
        </w:rPr>
        <w:t>, Rome: Biblical Institute.</w:t>
      </w:r>
    </w:p>
    <w:p w:rsidR="00C5139E" w:rsidRPr="00237B6E" w:rsidRDefault="00C5139E" w:rsidP="00E04EFB">
      <w:pPr>
        <w:pStyle w:val="Bibliography"/>
        <w:ind w:left="720" w:hanging="720"/>
        <w:rPr>
          <w:rFonts w:cs="Times New Roman"/>
          <w:noProof/>
          <w:szCs w:val="24"/>
        </w:rPr>
      </w:pPr>
      <w:r w:rsidRPr="00237B6E">
        <w:rPr>
          <w:rFonts w:cs="Times New Roman"/>
          <w:noProof/>
          <w:szCs w:val="24"/>
        </w:rPr>
        <w:t xml:space="preserve">Merrill, E.H. (2001) 'Deuteronomy', in </w:t>
      </w:r>
      <w:r w:rsidRPr="00237B6E">
        <w:rPr>
          <w:rFonts w:cs="Times New Roman"/>
          <w:i/>
          <w:iCs/>
          <w:noProof/>
          <w:szCs w:val="24"/>
        </w:rPr>
        <w:t>The New American Commentary</w:t>
      </w:r>
      <w:r w:rsidRPr="00237B6E">
        <w:rPr>
          <w:rFonts w:cs="Times New Roman"/>
          <w:noProof/>
          <w:szCs w:val="24"/>
        </w:rPr>
        <w:t>, electronic edn edition, Nashville, TN: Broadman &amp; Holman Publishers.</w:t>
      </w:r>
    </w:p>
    <w:p w:rsidR="00C5139E" w:rsidRPr="00237B6E" w:rsidRDefault="00C5139E" w:rsidP="006A682F">
      <w:pPr>
        <w:pStyle w:val="Bibliography"/>
        <w:ind w:left="720" w:hanging="720"/>
        <w:rPr>
          <w:rFonts w:cs="Times New Roman"/>
          <w:noProof/>
          <w:szCs w:val="24"/>
        </w:rPr>
      </w:pPr>
      <w:r w:rsidRPr="00237B6E">
        <w:rPr>
          <w:rFonts w:cs="Times New Roman"/>
          <w:noProof/>
          <w:szCs w:val="24"/>
        </w:rPr>
        <w:t xml:space="preserve">Miller, J. (2010) 'A Distinction Regarding Happiness in Ancient Philosophy', </w:t>
      </w:r>
      <w:r w:rsidRPr="00237B6E">
        <w:rPr>
          <w:rFonts w:cs="Times New Roman"/>
          <w:i/>
          <w:iCs/>
          <w:noProof/>
          <w:szCs w:val="24"/>
        </w:rPr>
        <w:t>Social Research</w:t>
      </w:r>
      <w:r w:rsidRPr="00237B6E">
        <w:rPr>
          <w:rFonts w:cs="Times New Roman"/>
          <w:noProof/>
          <w:szCs w:val="24"/>
        </w:rPr>
        <w:t>, vol. 77, no. 2, Summer, pp. 595-624.</w:t>
      </w:r>
    </w:p>
    <w:p w:rsidR="00E81B15" w:rsidRPr="00237B6E" w:rsidRDefault="00E81B15" w:rsidP="00E81B15">
      <w:pPr>
        <w:pStyle w:val="Bibliography"/>
        <w:ind w:left="720" w:hanging="720"/>
        <w:rPr>
          <w:rFonts w:cs="Times New Roman"/>
          <w:noProof/>
          <w:szCs w:val="24"/>
        </w:rPr>
      </w:pPr>
      <w:r w:rsidRPr="00237B6E">
        <w:rPr>
          <w:rFonts w:cs="Times New Roman"/>
          <w:noProof/>
          <w:szCs w:val="24"/>
        </w:rPr>
        <w:t xml:space="preserve">Morwood, J. (ed.) (2005) 'signo', in </w:t>
      </w:r>
      <w:r w:rsidRPr="00237B6E">
        <w:rPr>
          <w:rFonts w:cs="Times New Roman"/>
          <w:i/>
          <w:iCs/>
          <w:noProof/>
          <w:szCs w:val="24"/>
        </w:rPr>
        <w:t>Oxford Latin Desk Dictionary</w:t>
      </w:r>
      <w:r w:rsidRPr="00237B6E">
        <w:rPr>
          <w:rFonts w:cs="Times New Roman"/>
          <w:noProof/>
          <w:szCs w:val="24"/>
        </w:rPr>
        <w:t>, Oxford: Oxford University Press.</w:t>
      </w:r>
    </w:p>
    <w:p w:rsidR="00C5139E" w:rsidRPr="00237B6E" w:rsidRDefault="00C5139E" w:rsidP="00E04EFB">
      <w:pPr>
        <w:pStyle w:val="Bibliography"/>
        <w:ind w:left="720" w:hanging="720"/>
        <w:rPr>
          <w:rFonts w:cs="Times New Roman"/>
          <w:noProof/>
          <w:szCs w:val="24"/>
        </w:rPr>
      </w:pPr>
      <w:r w:rsidRPr="00237B6E">
        <w:rPr>
          <w:rFonts w:cs="Times New Roman"/>
          <w:noProof/>
          <w:szCs w:val="24"/>
        </w:rPr>
        <w:t xml:space="preserve">Stern, P.D. (1992) </w:t>
      </w:r>
      <w:r>
        <w:rPr>
          <w:rFonts w:cs="Times New Roman"/>
          <w:noProof/>
          <w:szCs w:val="24"/>
        </w:rPr>
        <w:t>'</w:t>
      </w:r>
      <w:r w:rsidRPr="005A7B0B">
        <w:rPr>
          <w:rFonts w:cs="Times New Roman"/>
          <w:i/>
          <w:iCs/>
          <w:noProof/>
          <w:szCs w:val="24"/>
        </w:rPr>
        <w:t xml:space="preserve">The Origin and Significance of </w:t>
      </w:r>
      <w:r>
        <w:rPr>
          <w:rFonts w:cs="Times New Roman"/>
          <w:i/>
          <w:iCs/>
          <w:noProof/>
          <w:szCs w:val="24"/>
        </w:rPr>
        <w:t>"</w:t>
      </w:r>
      <w:r w:rsidRPr="005A7B0B">
        <w:rPr>
          <w:rFonts w:cs="Times New Roman"/>
          <w:i/>
          <w:iCs/>
          <w:noProof/>
          <w:szCs w:val="24"/>
        </w:rPr>
        <w:t>the Land Flowing with Milk And Honey</w:t>
      </w:r>
      <w:r>
        <w:rPr>
          <w:rFonts w:cs="Times New Roman"/>
          <w:i/>
          <w:iCs/>
          <w:noProof/>
          <w:szCs w:val="24"/>
        </w:rPr>
        <w:t>"'</w:t>
      </w:r>
      <w:r w:rsidRPr="00237B6E">
        <w:rPr>
          <w:rFonts w:cs="Times New Roman"/>
          <w:noProof/>
          <w:szCs w:val="24"/>
        </w:rPr>
        <w:t xml:space="preserve">, </w:t>
      </w:r>
      <w:r w:rsidRPr="00237B6E">
        <w:rPr>
          <w:rFonts w:cs="Times New Roman"/>
          <w:i/>
          <w:iCs/>
          <w:noProof/>
          <w:szCs w:val="24"/>
        </w:rPr>
        <w:t>Vetus testamentum</w:t>
      </w:r>
      <w:r w:rsidRPr="00237B6E">
        <w:rPr>
          <w:rFonts w:cs="Times New Roman"/>
          <w:noProof/>
          <w:szCs w:val="24"/>
        </w:rPr>
        <w:t>, vol. 42, no. 4, October, pp. 554-557.</w:t>
      </w:r>
    </w:p>
    <w:p w:rsidR="006A682F" w:rsidRPr="00237B6E" w:rsidRDefault="006A682F" w:rsidP="006A682F">
      <w:pPr>
        <w:pStyle w:val="Bibliography"/>
        <w:ind w:left="720" w:hanging="720"/>
        <w:rPr>
          <w:rFonts w:cs="Times New Roman"/>
          <w:noProof/>
          <w:szCs w:val="24"/>
        </w:rPr>
      </w:pPr>
      <w:r w:rsidRPr="00237B6E">
        <w:rPr>
          <w:rFonts w:cs="Times New Roman"/>
          <w:noProof/>
          <w:szCs w:val="24"/>
        </w:rPr>
        <w:t>Viljoen, F.P. (2011) '</w:t>
      </w:r>
      <w:r w:rsidRPr="00377747">
        <w:rPr>
          <w:rFonts w:cs="Times New Roman"/>
          <w:iCs/>
          <w:noProof/>
          <w:szCs w:val="24"/>
        </w:rPr>
        <w:t xml:space="preserve"> </w:t>
      </w:r>
      <w:r w:rsidRPr="007844B3">
        <w:rPr>
          <w:rFonts w:cs="Times New Roman"/>
          <w:iCs/>
          <w:noProof/>
          <w:szCs w:val="24"/>
        </w:rPr>
        <w:t>The Foundational Statement in Matthew 5:17-20 on the Continuing Validity of the Law in Matte</w:t>
      </w:r>
      <w:r>
        <w:rPr>
          <w:rFonts w:cs="Times New Roman"/>
          <w:iCs/>
          <w:noProof/>
          <w:szCs w:val="24"/>
        </w:rPr>
        <w:t>w</w:t>
      </w:r>
      <w:r w:rsidRPr="007844B3">
        <w:rPr>
          <w:rFonts w:cs="Times New Roman"/>
          <w:iCs/>
          <w:noProof/>
          <w:szCs w:val="24"/>
        </w:rPr>
        <w:t xml:space="preserve"> 5:17-20</w:t>
      </w:r>
      <w:r w:rsidRPr="00237B6E">
        <w:rPr>
          <w:rFonts w:cs="Times New Roman"/>
          <w:noProof/>
          <w:szCs w:val="24"/>
        </w:rPr>
        <w:t xml:space="preserve">', </w:t>
      </w:r>
      <w:r w:rsidRPr="00377747">
        <w:rPr>
          <w:rFonts w:cs="Times New Roman"/>
          <w:i/>
          <w:noProof/>
          <w:szCs w:val="24"/>
        </w:rPr>
        <w:t>Tydskrif van die Gereformeerde Teologiese Vereniging</w:t>
      </w:r>
      <w:r w:rsidRPr="00237B6E">
        <w:rPr>
          <w:rFonts w:cs="Times New Roman"/>
          <w:noProof/>
          <w:szCs w:val="24"/>
        </w:rPr>
        <w:t>, vol. 45, no. 2 &amp; 3, Jun/Sept, pp. 385-407.</w:t>
      </w:r>
    </w:p>
    <w:p w:rsidR="00C947F4" w:rsidRPr="0074122D" w:rsidRDefault="00C947F4" w:rsidP="00C947F4">
      <w:pPr>
        <w:ind w:left="720" w:hanging="720"/>
        <w:jc w:val="both"/>
        <w:rPr>
          <w:rFonts w:cs="Times New Roman"/>
          <w:bCs/>
          <w:szCs w:val="24"/>
        </w:rPr>
      </w:pPr>
    </w:p>
    <w:sectPr w:rsidR="00C947F4" w:rsidRPr="0074122D" w:rsidSect="0092455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07" w:rsidRDefault="00C15307" w:rsidP="0074122D">
      <w:pPr>
        <w:spacing w:line="240" w:lineRule="auto"/>
      </w:pPr>
      <w:r>
        <w:separator/>
      </w:r>
    </w:p>
  </w:endnote>
  <w:endnote w:type="continuationSeparator" w:id="0">
    <w:p w:rsidR="00C15307" w:rsidRDefault="00C15307" w:rsidP="00741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328593"/>
      <w:docPartObj>
        <w:docPartGallery w:val="Page Numbers (Bottom of Page)"/>
        <w:docPartUnique/>
      </w:docPartObj>
    </w:sdtPr>
    <w:sdtEndPr>
      <w:rPr>
        <w:color w:val="808080" w:themeColor="background1" w:themeShade="80"/>
        <w:spacing w:val="60"/>
      </w:rPr>
    </w:sdtEndPr>
    <w:sdtContent>
      <w:p w:rsidR="00924555" w:rsidRDefault="009245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777A">
          <w:rPr>
            <w:noProof/>
          </w:rPr>
          <w:t>3</w:t>
        </w:r>
        <w:r>
          <w:rPr>
            <w:noProof/>
          </w:rPr>
          <w:fldChar w:fldCharType="end"/>
        </w:r>
        <w:r>
          <w:t xml:space="preserve"> | </w:t>
        </w:r>
        <w:r>
          <w:rPr>
            <w:color w:val="808080" w:themeColor="background1" w:themeShade="80"/>
            <w:spacing w:val="60"/>
          </w:rPr>
          <w:t>Page</w:t>
        </w:r>
      </w:p>
    </w:sdtContent>
  </w:sdt>
  <w:p w:rsidR="0074122D" w:rsidRPr="00924555" w:rsidRDefault="0074122D" w:rsidP="00924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2D" w:rsidRDefault="00924555" w:rsidP="00924555">
    <w:pPr>
      <w:pStyle w:val="Footer"/>
      <w:pBdr>
        <w:top w:val="single" w:sz="4" w:space="1" w:color="auto"/>
      </w:pBdr>
    </w:pPr>
    <w:r>
      <w:t xml:space="preserve">Excerpted from PhD dissertation, </w:t>
    </w:r>
    <w:r>
      <w:rPr>
        <w:i/>
      </w:rPr>
      <w:t xml:space="preserve">Covenant, Christology, and Kingdom as Context for Matthew’s Use of </w:t>
    </w:r>
    <w:r w:rsidRPr="00ED480F">
      <w:rPr>
        <w:rFonts w:eastAsia="Times New Roman" w:cs="Times New Roman"/>
        <w:i/>
        <w:szCs w:val="24"/>
      </w:rPr>
      <w:t>Plēróō</w:t>
    </w:r>
    <w:r>
      <w:rPr>
        <w:rFonts w:eastAsia="Times New Roman" w:cs="Times New Roman"/>
        <w:i/>
        <w:szCs w:val="24"/>
      </w:rPr>
      <w:t>.</w:t>
    </w:r>
    <w:r>
      <w:rPr>
        <w:rFonts w:eastAsia="Times New Roman" w:cs="Times New Roman"/>
        <w:szCs w:val="24"/>
      </w:rPr>
      <w:t xml:space="preserve"> North-West University, Potchefstroom, South Africa. Find online at:</w:t>
    </w:r>
    <w:r w:rsidRPr="003F1B52">
      <w:t xml:space="preserve"> </w:t>
    </w:r>
    <w:r w:rsidRPr="003F1B52">
      <w:rPr>
        <w:rFonts w:eastAsia="Times New Roman" w:cs="Times New Roman"/>
        <w:szCs w:val="24"/>
      </w:rPr>
      <w:t>http://dspace.nwu.ac.za/handle/10394/9175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07" w:rsidRDefault="00C15307" w:rsidP="0074122D">
      <w:pPr>
        <w:spacing w:line="240" w:lineRule="auto"/>
      </w:pPr>
      <w:r>
        <w:separator/>
      </w:r>
    </w:p>
  </w:footnote>
  <w:footnote w:type="continuationSeparator" w:id="0">
    <w:p w:rsidR="00C15307" w:rsidRDefault="00C15307" w:rsidP="007412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5" w:rsidRPr="00924555" w:rsidRDefault="0093292D" w:rsidP="0093292D">
    <w:pPr>
      <w:pStyle w:val="Header"/>
      <w:pBdr>
        <w:bottom w:val="single" w:sz="4" w:space="1" w:color="auto"/>
      </w:pBdr>
      <w:tabs>
        <w:tab w:val="clear" w:pos="4680"/>
      </w:tabs>
    </w:pPr>
    <w:r>
      <w:t>Jesus Fulfils the Law</w:t>
    </w:r>
    <w:r>
      <w:tab/>
      <w:t>Matthew 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2D" w:rsidRDefault="00924555" w:rsidP="00924555">
    <w:pPr>
      <w:pStyle w:val="Header"/>
      <w:pBdr>
        <w:bottom w:val="single" w:sz="4" w:space="1" w:color="auto"/>
      </w:pBdr>
    </w:pPr>
    <w:r>
      <w:t>Matthew 5:17</w:t>
    </w:r>
    <w:r>
      <w:tab/>
      <w:t>Jesus Fulfils the Law</w:t>
    </w:r>
    <w:r>
      <w:tab/>
    </w:r>
    <w:r w:rsidR="0093292D">
      <w:t>Paul R. McCuistion, PhD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D"/>
    <w:rsid w:val="00220F24"/>
    <w:rsid w:val="003F1B52"/>
    <w:rsid w:val="006A682F"/>
    <w:rsid w:val="006F5B0D"/>
    <w:rsid w:val="0074122D"/>
    <w:rsid w:val="00924555"/>
    <w:rsid w:val="0093292D"/>
    <w:rsid w:val="00A17123"/>
    <w:rsid w:val="00AF02FA"/>
    <w:rsid w:val="00B131C0"/>
    <w:rsid w:val="00C0777A"/>
    <w:rsid w:val="00C15307"/>
    <w:rsid w:val="00C5139E"/>
    <w:rsid w:val="00C947F4"/>
    <w:rsid w:val="00D17ED1"/>
    <w:rsid w:val="00D62016"/>
    <w:rsid w:val="00E04EFB"/>
    <w:rsid w:val="00E8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2D"/>
    <w:pPr>
      <w:spacing w:after="0" w:line="36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2D"/>
    <w:pPr>
      <w:tabs>
        <w:tab w:val="center" w:pos="4680"/>
        <w:tab w:val="right" w:pos="9360"/>
      </w:tabs>
      <w:spacing w:line="240" w:lineRule="auto"/>
    </w:pPr>
  </w:style>
  <w:style w:type="character" w:customStyle="1" w:styleId="HeaderChar">
    <w:name w:val="Header Char"/>
    <w:basedOn w:val="DefaultParagraphFont"/>
    <w:link w:val="Header"/>
    <w:uiPriority w:val="99"/>
    <w:rsid w:val="0074122D"/>
    <w:rPr>
      <w:rFonts w:ascii="Times New Roman" w:hAnsi="Times New Roman"/>
      <w:sz w:val="24"/>
      <w:lang w:val="en-GB"/>
    </w:rPr>
  </w:style>
  <w:style w:type="paragraph" w:styleId="Footer">
    <w:name w:val="footer"/>
    <w:basedOn w:val="Normal"/>
    <w:link w:val="FooterChar"/>
    <w:uiPriority w:val="99"/>
    <w:unhideWhenUsed/>
    <w:rsid w:val="0074122D"/>
    <w:pPr>
      <w:tabs>
        <w:tab w:val="center" w:pos="4680"/>
        <w:tab w:val="right" w:pos="9360"/>
      </w:tabs>
      <w:spacing w:line="240" w:lineRule="auto"/>
    </w:pPr>
  </w:style>
  <w:style w:type="character" w:customStyle="1" w:styleId="FooterChar">
    <w:name w:val="Footer Char"/>
    <w:basedOn w:val="DefaultParagraphFont"/>
    <w:link w:val="Footer"/>
    <w:uiPriority w:val="99"/>
    <w:rsid w:val="0074122D"/>
    <w:rPr>
      <w:rFonts w:ascii="Times New Roman" w:hAnsi="Times New Roman"/>
      <w:sz w:val="24"/>
      <w:lang w:val="en-GB"/>
    </w:rPr>
  </w:style>
  <w:style w:type="paragraph" w:styleId="Bibliography">
    <w:name w:val="Bibliography"/>
    <w:basedOn w:val="Normal"/>
    <w:next w:val="Normal"/>
    <w:uiPriority w:val="37"/>
    <w:unhideWhenUsed/>
    <w:rsid w:val="00E81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2D"/>
    <w:pPr>
      <w:spacing w:after="0" w:line="36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2D"/>
    <w:pPr>
      <w:tabs>
        <w:tab w:val="center" w:pos="4680"/>
        <w:tab w:val="right" w:pos="9360"/>
      </w:tabs>
      <w:spacing w:line="240" w:lineRule="auto"/>
    </w:pPr>
  </w:style>
  <w:style w:type="character" w:customStyle="1" w:styleId="HeaderChar">
    <w:name w:val="Header Char"/>
    <w:basedOn w:val="DefaultParagraphFont"/>
    <w:link w:val="Header"/>
    <w:uiPriority w:val="99"/>
    <w:rsid w:val="0074122D"/>
    <w:rPr>
      <w:rFonts w:ascii="Times New Roman" w:hAnsi="Times New Roman"/>
      <w:sz w:val="24"/>
      <w:lang w:val="en-GB"/>
    </w:rPr>
  </w:style>
  <w:style w:type="paragraph" w:styleId="Footer">
    <w:name w:val="footer"/>
    <w:basedOn w:val="Normal"/>
    <w:link w:val="FooterChar"/>
    <w:uiPriority w:val="99"/>
    <w:unhideWhenUsed/>
    <w:rsid w:val="0074122D"/>
    <w:pPr>
      <w:tabs>
        <w:tab w:val="center" w:pos="4680"/>
        <w:tab w:val="right" w:pos="9360"/>
      </w:tabs>
      <w:spacing w:line="240" w:lineRule="auto"/>
    </w:pPr>
  </w:style>
  <w:style w:type="character" w:customStyle="1" w:styleId="FooterChar">
    <w:name w:val="Footer Char"/>
    <w:basedOn w:val="DefaultParagraphFont"/>
    <w:link w:val="Footer"/>
    <w:uiPriority w:val="99"/>
    <w:rsid w:val="0074122D"/>
    <w:rPr>
      <w:rFonts w:ascii="Times New Roman" w:hAnsi="Times New Roman"/>
      <w:sz w:val="24"/>
      <w:lang w:val="en-GB"/>
    </w:rPr>
  </w:style>
  <w:style w:type="paragraph" w:styleId="Bibliography">
    <w:name w:val="Bibliography"/>
    <w:basedOn w:val="Normal"/>
    <w:next w:val="Normal"/>
    <w:uiPriority w:val="37"/>
    <w:unhideWhenUsed/>
    <w:rsid w:val="00E8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 McCuistion</dc:creator>
  <cp:lastModifiedBy>Paul R. McCuistion</cp:lastModifiedBy>
  <cp:revision>3</cp:revision>
  <dcterms:created xsi:type="dcterms:W3CDTF">2016-02-10T12:35:00Z</dcterms:created>
  <dcterms:modified xsi:type="dcterms:W3CDTF">2016-02-10T13:09:00Z</dcterms:modified>
</cp:coreProperties>
</file>