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2" w:rsidRPr="00C43686" w:rsidRDefault="004F74C2" w:rsidP="004F74C2">
      <w:pPr>
        <w:shd w:val="clear" w:color="auto" w:fill="F8FCFF"/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Intentionality</w:t>
      </w:r>
    </w:p>
    <w:p w:rsidR="004F74C2" w:rsidRDefault="004F74C2" w:rsidP="004F74C2">
      <w:pPr>
        <w:shd w:val="clear" w:color="auto" w:fill="F8FCFF"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Did the New Testament writers speak in symbolic language?</w:t>
      </w:r>
      <w:r w:rsidR="00685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 there a reality to their writings?</w:t>
      </w:r>
      <w:r w:rsidR="00685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Does symbolism take us deeper or leave us wanting more?</w:t>
      </w:r>
    </w:p>
    <w:p w:rsidR="004F74C2" w:rsidRDefault="004F74C2" w:rsidP="004F74C2">
      <w:pPr>
        <w:spacing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Normally, when New Testament Greek is studied, the approach is etymological (word study), </w:t>
      </w:r>
      <w:proofErr w:type="spellStart"/>
      <w:r>
        <w:rPr>
          <w:rFonts w:ascii="Times New Roman" w:hAnsi="Times New Roman"/>
          <w:lang w:val="en"/>
        </w:rPr>
        <w:t>syntatical</w:t>
      </w:r>
      <w:proofErr w:type="spellEnd"/>
      <w:r>
        <w:rPr>
          <w:rFonts w:ascii="Times New Roman" w:hAnsi="Times New Roman"/>
          <w:lang w:val="en"/>
        </w:rPr>
        <w:t xml:space="preserve"> (/phrase/sentence structure), or idiomatic (cultural/contextual).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While these avenues give us insight and meaning, they do not always help us understand the intent of the writer.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Unless the speaker/context reveals the intention, it is left to subjective reasoning ‘why’ the speaker communicated as they did.</w:t>
      </w:r>
      <w:r w:rsidR="0068591D">
        <w:rPr>
          <w:rFonts w:ascii="Times New Roman" w:hAnsi="Times New Roman"/>
          <w:lang w:val="en"/>
        </w:rPr>
        <w:t xml:space="preserve"> </w:t>
      </w:r>
    </w:p>
    <w:p w:rsidR="004F74C2" w:rsidRDefault="004F74C2" w:rsidP="004F74C2">
      <w:pPr>
        <w:spacing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H. P. Grice, a </w:t>
      </w:r>
      <w:proofErr w:type="spellStart"/>
      <w:r>
        <w:rPr>
          <w:rFonts w:ascii="Times New Roman" w:hAnsi="Times New Roman"/>
          <w:lang w:val="en"/>
        </w:rPr>
        <w:t>philosoper</w:t>
      </w:r>
      <w:proofErr w:type="spellEnd"/>
      <w:r>
        <w:rPr>
          <w:rFonts w:ascii="Times New Roman" w:hAnsi="Times New Roman"/>
          <w:lang w:val="en"/>
        </w:rPr>
        <w:t xml:space="preserve"> of language introduced “the concept of </w:t>
      </w:r>
      <w:r>
        <w:rPr>
          <w:rFonts w:ascii="Times New Roman" w:hAnsi="Times New Roman"/>
          <w:i/>
          <w:iCs/>
          <w:lang w:val="en"/>
        </w:rPr>
        <w:t xml:space="preserve">someone’s </w:t>
      </w:r>
      <w:proofErr w:type="spellStart"/>
      <w:r>
        <w:rPr>
          <w:rFonts w:ascii="Times New Roman" w:hAnsi="Times New Roman"/>
          <w:i/>
          <w:iCs/>
          <w:lang w:val="en"/>
        </w:rPr>
        <w:t>nonnaturall</w:t>
      </w:r>
      <w:r>
        <w:rPr>
          <w:rFonts w:ascii="Times New Roman" w:hAnsi="Times New Roman"/>
          <w:lang w:val="en"/>
        </w:rPr>
        <w:t>y</w:t>
      </w:r>
      <w:proofErr w:type="spellEnd"/>
      <w:r w:rsidRPr="006B3D80">
        <w:rPr>
          <w:rStyle w:val="FootnoteReference"/>
        </w:rPr>
        <w:footnoteReference w:id="1"/>
      </w:r>
      <w:r>
        <w:rPr>
          <w:rFonts w:ascii="Times New Roman" w:hAnsi="Times New Roman"/>
          <w:i/>
          <w:iCs/>
          <w:lang w:val="en"/>
        </w:rPr>
        <w:t xml:space="preserve"> meaning something by an </w:t>
      </w:r>
      <w:proofErr w:type="spellStart"/>
      <w:r>
        <w:rPr>
          <w:rFonts w:ascii="Times New Roman" w:hAnsi="Times New Roman"/>
          <w:i/>
          <w:iCs/>
          <w:lang w:val="en"/>
        </w:rPr>
        <w:t>utterence</w:t>
      </w:r>
      <w:proofErr w:type="spellEnd"/>
      <w:r>
        <w:rPr>
          <w:rFonts w:ascii="Times New Roman" w:hAnsi="Times New Roman"/>
          <w:lang w:val="en"/>
        </w:rPr>
        <w:t>”</w:t>
      </w:r>
      <w:r w:rsidRPr="006B3D80">
        <w:rPr>
          <w:rStyle w:val="FootnoteReference"/>
        </w:rPr>
        <w:footnoteReference w:id="2"/>
      </w:r>
      <w:r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in an article on </w:t>
      </w:r>
      <w:proofErr w:type="gramStart"/>
      <w:r w:rsidRPr="00D32CD8">
        <w:rPr>
          <w:rFonts w:ascii="Times New Roman" w:hAnsi="Times New Roman"/>
          <w:i/>
          <w:iCs/>
          <w:lang w:val="en"/>
        </w:rPr>
        <w:t>Meaning</w:t>
      </w:r>
      <w:proofErr w:type="gramEnd"/>
      <w:r>
        <w:rPr>
          <w:rFonts w:ascii="Times New Roman" w:hAnsi="Times New Roman"/>
          <w:i/>
          <w:iCs/>
          <w:lang w:val="en"/>
        </w:rPr>
        <w:t xml:space="preserve"> (Philosophical Review, LXVII, 1957).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“It will be convenient to refer to that by which someone, </w:t>
      </w:r>
      <w:proofErr w:type="gramStart"/>
      <w:r>
        <w:rPr>
          <w:rFonts w:ascii="Times New Roman" w:hAnsi="Times New Roman"/>
          <w:lang w:val="en"/>
        </w:rPr>
        <w:t>S,</w:t>
      </w:r>
      <w:proofErr w:type="gramEnd"/>
      <w:r>
        <w:rPr>
          <w:rFonts w:ascii="Times New Roman" w:hAnsi="Times New Roman"/>
          <w:lang w:val="en"/>
        </w:rPr>
        <w:t xml:space="preserve"> </w:t>
      </w:r>
      <w:proofErr w:type="spellStart"/>
      <w:r>
        <w:rPr>
          <w:rFonts w:ascii="Times New Roman" w:hAnsi="Times New Roman"/>
          <w:lang w:val="en"/>
        </w:rPr>
        <w:t>nonnatureally</w:t>
      </w:r>
      <w:proofErr w:type="spellEnd"/>
      <w:r>
        <w:rPr>
          <w:rFonts w:ascii="Times New Roman" w:hAnsi="Times New Roman"/>
          <w:lang w:val="en"/>
        </w:rPr>
        <w:t xml:space="preserve"> means something as S’s </w:t>
      </w:r>
      <w:proofErr w:type="spellStart"/>
      <w:r>
        <w:rPr>
          <w:rFonts w:ascii="Times New Roman" w:hAnsi="Times New Roman"/>
          <w:i/>
          <w:iCs/>
          <w:lang w:val="en"/>
        </w:rPr>
        <w:t>utterence</w:t>
      </w:r>
      <w:proofErr w:type="spellEnd"/>
      <w:r>
        <w:rPr>
          <w:rFonts w:ascii="Times New Roman" w:hAnsi="Times New Roman"/>
          <w:i/>
          <w:iCs/>
          <w:lang w:val="en"/>
        </w:rPr>
        <w:t>.</w:t>
      </w:r>
      <w:r>
        <w:rPr>
          <w:rFonts w:ascii="Times New Roman" w:hAnsi="Times New Roman"/>
          <w:lang w:val="en"/>
        </w:rPr>
        <w:t>”</w:t>
      </w:r>
      <w:r w:rsidRPr="006663AF">
        <w:rPr>
          <w:rStyle w:val="FootnoteReference"/>
        </w:rPr>
        <w:t xml:space="preserve"> </w:t>
      </w:r>
      <w:r w:rsidRPr="006B3D80">
        <w:rPr>
          <w:rStyle w:val="FootnoteReference"/>
        </w:rPr>
        <w:footnoteReference w:id="3"/>
      </w:r>
      <w:r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The explanation of the introduced concept is given in terms of the concept of intention.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To illustrate this using Paul’s writing to the Romans, Grice could state,</w:t>
      </w:r>
    </w:p>
    <w:p w:rsidR="004F74C2" w:rsidRPr="00AD4BD4" w:rsidRDefault="004F74C2" w:rsidP="004F74C2">
      <w:pPr>
        <w:ind w:left="720" w:right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Paul </w:t>
      </w:r>
      <w:proofErr w:type="spellStart"/>
      <w:r>
        <w:rPr>
          <w:rFonts w:ascii="Times New Roman" w:hAnsi="Times New Roman"/>
          <w:lang w:val="en"/>
        </w:rPr>
        <w:t>nonnaturally</w:t>
      </w:r>
      <w:proofErr w:type="spellEnd"/>
      <w:r>
        <w:rPr>
          <w:rFonts w:ascii="Times New Roman" w:hAnsi="Times New Roman"/>
          <w:lang w:val="en"/>
        </w:rPr>
        <w:t xml:space="preserve"> means something by an utterance regarding baptism (Romans 6) if he (Paul) intends (</w:t>
      </w:r>
      <w:r w:rsidRPr="00BE2D35">
        <w:rPr>
          <w:rFonts w:ascii="Times New Roman" w:hAnsi="Times New Roman"/>
          <w:i/>
          <w:iCs/>
          <w:lang w:val="en"/>
        </w:rPr>
        <w:t>i</w:t>
      </w:r>
      <w:r w:rsidRPr="00BE2D35">
        <w:rPr>
          <w:rFonts w:ascii="Times New Roman" w:hAnsi="Times New Roman"/>
          <w:vertAlign w:val="subscript"/>
          <w:lang w:val="en"/>
        </w:rPr>
        <w:t>1</w:t>
      </w:r>
      <w:r>
        <w:rPr>
          <w:rFonts w:ascii="Times New Roman" w:hAnsi="Times New Roman"/>
          <w:lang w:val="en"/>
        </w:rPr>
        <w:t>) to produce by uttering the teaching of baptism a certain response (</w:t>
      </w:r>
      <w:r>
        <w:rPr>
          <w:rFonts w:ascii="Times New Roman" w:hAnsi="Times New Roman"/>
          <w:i/>
          <w:iCs/>
          <w:lang w:val="en"/>
        </w:rPr>
        <w:t>r</w:t>
      </w:r>
      <w:r w:rsidRPr="007A2E99">
        <w:rPr>
          <w:rFonts w:ascii="Times New Roman" w:hAnsi="Times New Roman"/>
          <w:lang w:val="en"/>
        </w:rPr>
        <w:t>)</w:t>
      </w:r>
      <w:r>
        <w:rPr>
          <w:rFonts w:ascii="Times New Roman" w:hAnsi="Times New Roman"/>
          <w:lang w:val="en"/>
        </w:rPr>
        <w:t>, i.e., understanding the meaning of the initiation into Christ Jesus for the Romans and intends (</w:t>
      </w:r>
      <w:r w:rsidRPr="00BE2D35">
        <w:rPr>
          <w:rFonts w:ascii="Times New Roman" w:hAnsi="Times New Roman"/>
          <w:i/>
          <w:iCs/>
          <w:lang w:val="en"/>
        </w:rPr>
        <w:t>i</w:t>
      </w:r>
      <w:r>
        <w:rPr>
          <w:rFonts w:ascii="Times New Roman" w:hAnsi="Times New Roman"/>
          <w:vertAlign w:val="subscript"/>
          <w:lang w:val="en"/>
        </w:rPr>
        <w:t>2</w:t>
      </w:r>
      <w:r>
        <w:rPr>
          <w:rFonts w:ascii="Times New Roman" w:hAnsi="Times New Roman"/>
          <w:lang w:val="en"/>
        </w:rPr>
        <w:t>) that the Romans shall recognize his (Paul’s) intention (</w:t>
      </w:r>
      <w:r w:rsidRPr="00BE2D35">
        <w:rPr>
          <w:rFonts w:ascii="Times New Roman" w:hAnsi="Times New Roman"/>
          <w:i/>
          <w:iCs/>
          <w:lang w:val="en"/>
        </w:rPr>
        <w:t>i</w:t>
      </w:r>
      <w:r w:rsidRPr="00BE2D35">
        <w:rPr>
          <w:rFonts w:ascii="Times New Roman" w:hAnsi="Times New Roman"/>
          <w:vertAlign w:val="subscript"/>
          <w:lang w:val="en"/>
        </w:rPr>
        <w:t>1</w:t>
      </w:r>
      <w:r>
        <w:rPr>
          <w:rFonts w:ascii="Times New Roman" w:hAnsi="Times New Roman"/>
          <w:lang w:val="en"/>
        </w:rPr>
        <w:t>) and (Paul) intends (</w:t>
      </w:r>
      <w:r w:rsidRPr="00BE2D35">
        <w:rPr>
          <w:rFonts w:ascii="Times New Roman" w:hAnsi="Times New Roman"/>
          <w:i/>
          <w:iCs/>
          <w:lang w:val="en"/>
        </w:rPr>
        <w:t>i</w:t>
      </w:r>
      <w:r>
        <w:rPr>
          <w:rFonts w:ascii="Times New Roman" w:hAnsi="Times New Roman"/>
          <w:vertAlign w:val="subscript"/>
          <w:lang w:val="en"/>
        </w:rPr>
        <w:t>3</w:t>
      </w:r>
      <w:r>
        <w:rPr>
          <w:rFonts w:ascii="Times New Roman" w:hAnsi="Times New Roman"/>
          <w:lang w:val="en"/>
        </w:rPr>
        <w:t>) that this recognition on the part of the Romans of Paul’s intention (</w:t>
      </w:r>
      <w:r w:rsidRPr="00BE2D35">
        <w:rPr>
          <w:rFonts w:ascii="Times New Roman" w:hAnsi="Times New Roman"/>
          <w:i/>
          <w:iCs/>
          <w:lang w:val="en"/>
        </w:rPr>
        <w:t>i</w:t>
      </w:r>
      <w:r w:rsidRPr="00BE2D35">
        <w:rPr>
          <w:rFonts w:ascii="Times New Roman" w:hAnsi="Times New Roman"/>
          <w:vertAlign w:val="subscript"/>
          <w:lang w:val="en"/>
        </w:rPr>
        <w:t>1</w:t>
      </w:r>
      <w:r>
        <w:rPr>
          <w:rFonts w:ascii="Times New Roman" w:hAnsi="Times New Roman"/>
          <w:lang w:val="en"/>
        </w:rPr>
        <w:t xml:space="preserve">) shall function as the </w:t>
      </w:r>
      <w:proofErr w:type="spellStart"/>
      <w:r>
        <w:rPr>
          <w:rFonts w:ascii="Times New Roman" w:hAnsi="Times New Roman"/>
          <w:lang w:val="en"/>
        </w:rPr>
        <w:t>Romans’s</w:t>
      </w:r>
      <w:proofErr w:type="spellEnd"/>
      <w:r>
        <w:rPr>
          <w:rFonts w:ascii="Times New Roman" w:hAnsi="Times New Roman"/>
          <w:lang w:val="en"/>
        </w:rPr>
        <w:t xml:space="preserve"> reason, or a part of their reason, for their response (r).</w:t>
      </w:r>
      <w:r w:rsidRPr="006B3D80">
        <w:rPr>
          <w:rStyle w:val="FootnoteReference"/>
        </w:rPr>
        <w:footnoteReference w:id="4"/>
      </w:r>
    </w:p>
    <w:p w:rsidR="004F74C2" w:rsidRDefault="004F74C2" w:rsidP="004F74C2">
      <w:pPr>
        <w:spacing w:before="240"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From this argument, three intentions are realized.</w:t>
      </w:r>
      <w:r w:rsidR="0068591D">
        <w:rPr>
          <w:rFonts w:ascii="Times New Roman" w:hAnsi="Times New Roman"/>
          <w:lang w:val="en"/>
        </w:rPr>
        <w:t xml:space="preserve"> </w:t>
      </w:r>
    </w:p>
    <w:p w:rsidR="004F74C2" w:rsidRDefault="004F74C2" w:rsidP="004F74C2">
      <w:pPr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(</w:t>
      </w:r>
      <w:r w:rsidRPr="00BE2D35">
        <w:rPr>
          <w:rFonts w:ascii="Times New Roman" w:hAnsi="Times New Roman"/>
          <w:i/>
          <w:iCs/>
          <w:lang w:val="en"/>
        </w:rPr>
        <w:t>i</w:t>
      </w:r>
      <w:r w:rsidRPr="00BE2D35">
        <w:rPr>
          <w:rFonts w:ascii="Times New Roman" w:hAnsi="Times New Roman"/>
          <w:vertAlign w:val="subscript"/>
          <w:lang w:val="en"/>
        </w:rPr>
        <w:t>1</w:t>
      </w:r>
      <w:r>
        <w:rPr>
          <w:rFonts w:ascii="Times New Roman" w:hAnsi="Times New Roman"/>
          <w:lang w:val="en"/>
        </w:rPr>
        <w:t>)—Paul’s intention in writing to the Romans regarding baptism.</w:t>
      </w:r>
      <w:r w:rsidR="0068591D">
        <w:rPr>
          <w:rFonts w:ascii="Times New Roman" w:hAnsi="Times New Roman"/>
          <w:lang w:val="en"/>
        </w:rPr>
        <w:t xml:space="preserve"> </w:t>
      </w:r>
    </w:p>
    <w:p w:rsidR="004F74C2" w:rsidRDefault="004F74C2" w:rsidP="004F74C2">
      <w:pPr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lastRenderedPageBreak/>
        <w:t>(</w:t>
      </w:r>
      <w:r w:rsidRPr="00BE2D35">
        <w:rPr>
          <w:rFonts w:ascii="Times New Roman" w:hAnsi="Times New Roman"/>
          <w:i/>
          <w:iCs/>
          <w:lang w:val="en"/>
        </w:rPr>
        <w:t>i</w:t>
      </w:r>
      <w:r>
        <w:rPr>
          <w:rFonts w:ascii="Times New Roman" w:hAnsi="Times New Roman"/>
          <w:vertAlign w:val="subscript"/>
          <w:lang w:val="en"/>
        </w:rPr>
        <w:t>2</w:t>
      </w:r>
      <w:r>
        <w:rPr>
          <w:rFonts w:ascii="Times New Roman" w:hAnsi="Times New Roman"/>
          <w:lang w:val="en"/>
        </w:rPr>
        <w:t>)—The Apostle hopes the Roman church realizes his intentions after hearing the teaching on baptism.</w:t>
      </w:r>
      <w:r w:rsidR="0068591D">
        <w:rPr>
          <w:rFonts w:ascii="Times New Roman" w:hAnsi="Times New Roman"/>
          <w:lang w:val="en"/>
        </w:rPr>
        <w:t xml:space="preserve"> </w:t>
      </w:r>
    </w:p>
    <w:p w:rsidR="004F74C2" w:rsidRDefault="004F74C2" w:rsidP="004F74C2">
      <w:pPr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(</w:t>
      </w:r>
      <w:r w:rsidRPr="00BE2D35">
        <w:rPr>
          <w:rFonts w:ascii="Times New Roman" w:hAnsi="Times New Roman"/>
          <w:i/>
          <w:iCs/>
          <w:lang w:val="en"/>
        </w:rPr>
        <w:t>i</w:t>
      </w:r>
      <w:r>
        <w:rPr>
          <w:rFonts w:ascii="Times New Roman" w:hAnsi="Times New Roman"/>
          <w:vertAlign w:val="subscript"/>
          <w:lang w:val="en"/>
        </w:rPr>
        <w:t>3</w:t>
      </w:r>
      <w:r>
        <w:rPr>
          <w:rFonts w:ascii="Times New Roman" w:hAnsi="Times New Roman"/>
          <w:lang w:val="en"/>
        </w:rPr>
        <w:t xml:space="preserve">)—Paul’s hope that the Romans’ recognition of Paul’s original intention will be the reason/part of the reason for responding to the teaching the way Paul hoped.  </w:t>
      </w:r>
    </w:p>
    <w:p w:rsidR="004F74C2" w:rsidRDefault="004F74C2" w:rsidP="004F74C2">
      <w:pPr>
        <w:spacing w:before="240"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P. F. </w:t>
      </w:r>
      <w:proofErr w:type="spellStart"/>
      <w:r>
        <w:rPr>
          <w:rFonts w:ascii="Times New Roman" w:hAnsi="Times New Roman"/>
          <w:lang w:val="en"/>
        </w:rPr>
        <w:t>Strawson</w:t>
      </w:r>
      <w:proofErr w:type="spellEnd"/>
      <w:r>
        <w:rPr>
          <w:rFonts w:ascii="Times New Roman" w:hAnsi="Times New Roman"/>
          <w:lang w:val="en"/>
        </w:rPr>
        <w:t xml:space="preserve"> </w:t>
      </w:r>
      <w:proofErr w:type="gramStart"/>
      <w:r>
        <w:rPr>
          <w:rFonts w:ascii="Times New Roman" w:hAnsi="Times New Roman"/>
          <w:lang w:val="en"/>
        </w:rPr>
        <w:t>suggest</w:t>
      </w:r>
      <w:proofErr w:type="gramEnd"/>
      <w:r>
        <w:rPr>
          <w:rFonts w:ascii="Times New Roman" w:hAnsi="Times New Roman"/>
          <w:lang w:val="en"/>
        </w:rPr>
        <w:t xml:space="preserve"> yet another intention (</w:t>
      </w:r>
      <w:r w:rsidRPr="00BE2D35">
        <w:rPr>
          <w:rFonts w:ascii="Times New Roman" w:hAnsi="Times New Roman"/>
          <w:i/>
          <w:iCs/>
          <w:lang w:val="en"/>
        </w:rPr>
        <w:t>i</w:t>
      </w:r>
      <w:r>
        <w:rPr>
          <w:rFonts w:ascii="Times New Roman" w:hAnsi="Times New Roman"/>
          <w:vertAlign w:val="subscript"/>
          <w:lang w:val="en"/>
        </w:rPr>
        <w:t>4</w:t>
      </w:r>
      <w:r>
        <w:rPr>
          <w:rFonts w:ascii="Times New Roman" w:hAnsi="Times New Roman"/>
          <w:lang w:val="en"/>
        </w:rPr>
        <w:t>).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After illustrating Grice’s formula, </w:t>
      </w:r>
      <w:proofErr w:type="spellStart"/>
      <w:r>
        <w:rPr>
          <w:rFonts w:ascii="Times New Roman" w:hAnsi="Times New Roman"/>
          <w:lang w:val="en"/>
        </w:rPr>
        <w:t>Strawson</w:t>
      </w:r>
      <w:proofErr w:type="spellEnd"/>
      <w:r>
        <w:rPr>
          <w:rFonts w:ascii="Times New Roman" w:hAnsi="Times New Roman"/>
          <w:lang w:val="en"/>
        </w:rPr>
        <w:t xml:space="preserve"> suggests that if both </w:t>
      </w:r>
      <w:r>
        <w:rPr>
          <w:rFonts w:ascii="Times New Roman" w:hAnsi="Times New Roman"/>
          <w:i/>
          <w:iCs/>
          <w:lang w:val="en"/>
        </w:rPr>
        <w:t>S</w:t>
      </w:r>
      <w:r>
        <w:rPr>
          <w:rFonts w:ascii="Times New Roman" w:hAnsi="Times New Roman"/>
          <w:lang w:val="en"/>
        </w:rPr>
        <w:t xml:space="preserve"> and </w:t>
      </w:r>
      <w:r>
        <w:rPr>
          <w:rFonts w:ascii="Times New Roman" w:hAnsi="Times New Roman"/>
          <w:i/>
          <w:iCs/>
          <w:lang w:val="en"/>
        </w:rPr>
        <w:t>A</w:t>
      </w:r>
      <w:r>
        <w:rPr>
          <w:rFonts w:ascii="Times New Roman" w:hAnsi="Times New Roman"/>
          <w:lang w:val="en"/>
        </w:rPr>
        <w:t xml:space="preserve"> (Paul and the Romans in our illustration) were well aware of </w:t>
      </w:r>
      <w:r>
        <w:rPr>
          <w:rFonts w:ascii="Times New Roman" w:hAnsi="Times New Roman"/>
          <w:i/>
          <w:iCs/>
          <w:lang w:val="en"/>
        </w:rPr>
        <w:t>S</w:t>
      </w:r>
      <w:r>
        <w:rPr>
          <w:rFonts w:ascii="Times New Roman" w:hAnsi="Times New Roman"/>
          <w:lang w:val="en"/>
        </w:rPr>
        <w:t>’s (Paul’s) first two intentions (</w:t>
      </w:r>
      <w:r w:rsidRPr="00BE2D35">
        <w:rPr>
          <w:rFonts w:ascii="Times New Roman" w:hAnsi="Times New Roman"/>
          <w:i/>
          <w:iCs/>
          <w:lang w:val="en"/>
        </w:rPr>
        <w:t>i</w:t>
      </w:r>
      <w:r w:rsidRPr="00BE2D35">
        <w:rPr>
          <w:rFonts w:ascii="Times New Roman" w:hAnsi="Times New Roman"/>
          <w:vertAlign w:val="subscript"/>
          <w:lang w:val="en"/>
        </w:rPr>
        <w:t>1</w:t>
      </w:r>
      <w:r>
        <w:rPr>
          <w:rFonts w:ascii="Times New Roman" w:hAnsi="Times New Roman"/>
          <w:lang w:val="en"/>
        </w:rPr>
        <w:t>) and (</w:t>
      </w:r>
      <w:r w:rsidRPr="00BE2D35">
        <w:rPr>
          <w:rFonts w:ascii="Times New Roman" w:hAnsi="Times New Roman"/>
          <w:i/>
          <w:iCs/>
          <w:lang w:val="en"/>
        </w:rPr>
        <w:t>i</w:t>
      </w:r>
      <w:r>
        <w:rPr>
          <w:rFonts w:ascii="Times New Roman" w:hAnsi="Times New Roman"/>
          <w:vertAlign w:val="subscript"/>
          <w:lang w:val="en"/>
        </w:rPr>
        <w:t>2</w:t>
      </w:r>
      <w:r>
        <w:rPr>
          <w:rFonts w:ascii="Times New Roman" w:hAnsi="Times New Roman"/>
          <w:lang w:val="en"/>
        </w:rPr>
        <w:t>), then the fourth intention (</w:t>
      </w:r>
      <w:r w:rsidRPr="00BE2D35">
        <w:rPr>
          <w:rFonts w:ascii="Times New Roman" w:hAnsi="Times New Roman"/>
          <w:i/>
          <w:iCs/>
          <w:lang w:val="en"/>
        </w:rPr>
        <w:t>i</w:t>
      </w:r>
      <w:r>
        <w:rPr>
          <w:rFonts w:ascii="Times New Roman" w:hAnsi="Times New Roman"/>
          <w:vertAlign w:val="subscript"/>
          <w:lang w:val="en"/>
        </w:rPr>
        <w:t>4</w:t>
      </w:r>
      <w:r>
        <w:rPr>
          <w:rFonts w:ascii="Times New Roman" w:hAnsi="Times New Roman"/>
          <w:lang w:val="en"/>
        </w:rPr>
        <w:t>) is that Paul desired that the Romans understood both that he intended to communicate the teaching and that he intended that the teaching would produce the desired result.</w:t>
      </w:r>
      <w:r w:rsidR="0068591D">
        <w:rPr>
          <w:rFonts w:ascii="Times New Roman" w:hAnsi="Times New Roman"/>
          <w:lang w:val="en"/>
        </w:rPr>
        <w:t xml:space="preserve"> </w:t>
      </w:r>
    </w:p>
    <w:p w:rsidR="004F74C2" w:rsidRDefault="004F74C2" w:rsidP="004F74C2">
      <w:pPr>
        <w:spacing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Using Romans as an illustration, we could ask, “What was Paul’s intention in writing to the Romans </w:t>
      </w:r>
      <w:r w:rsidR="0068591D">
        <w:rPr>
          <w:rFonts w:ascii="Times New Roman" w:hAnsi="Times New Roman"/>
          <w:lang w:val="en"/>
        </w:rPr>
        <w:t>regarding</w:t>
      </w:r>
      <w:r>
        <w:rPr>
          <w:rFonts w:ascii="Times New Roman" w:hAnsi="Times New Roman"/>
          <w:lang w:val="en"/>
        </w:rPr>
        <w:t xml:space="preserve"> baptism?”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Guthrie’s Introduction to the Book of Romans reveals that “The purpose of the Epistle arises naturally out of the occasion</w:t>
      </w:r>
      <w:r w:rsidRPr="006B3D80">
        <w:rPr>
          <w:rStyle w:val="FootnoteReference"/>
        </w:rPr>
        <w:footnoteReference w:id="5"/>
      </w:r>
      <w:r>
        <w:rPr>
          <w:rFonts w:ascii="Times New Roman" w:hAnsi="Times New Roman"/>
          <w:lang w:val="en"/>
        </w:rPr>
        <w:t xml:space="preserve">, but is not easy to define with any </w:t>
      </w:r>
      <w:r w:rsidR="0068591D">
        <w:rPr>
          <w:rFonts w:ascii="Times New Roman" w:hAnsi="Times New Roman"/>
          <w:lang w:val="en"/>
        </w:rPr>
        <w:t>precision</w:t>
      </w:r>
      <w:r>
        <w:rPr>
          <w:rFonts w:ascii="Times New Roman" w:hAnsi="Times New Roman"/>
          <w:lang w:val="en"/>
        </w:rPr>
        <w:t>.”</w:t>
      </w:r>
      <w:r w:rsidRPr="006B3D80">
        <w:rPr>
          <w:rStyle w:val="FootnoteReference"/>
        </w:rPr>
        <w:footnoteReference w:id="6"/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If Paul does not state his intentions, how then can we know why he wrote and does this intention affect his message?</w:t>
      </w:r>
    </w:p>
    <w:p w:rsidR="004F74C2" w:rsidRDefault="004F74C2" w:rsidP="004F74C2">
      <w:pPr>
        <w:spacing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If speech acts (language communications that expect response) are indeed intended and this has always been human nature, then it is expected that the humans writing revelation would write with </w:t>
      </w:r>
      <w:bookmarkStart w:id="0" w:name="_GoBack"/>
      <w:r>
        <w:rPr>
          <w:rFonts w:ascii="Times New Roman" w:hAnsi="Times New Roman"/>
          <w:lang w:val="en"/>
        </w:rPr>
        <w:t>intention.</w:t>
      </w:r>
      <w:r w:rsidRPr="006B3D80">
        <w:rPr>
          <w:rStyle w:val="FootnoteReference"/>
        </w:rPr>
        <w:footnoteReference w:id="7"/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For this, we would look at the writing and determine any/all intended messages possible in order to understand fully </w:t>
      </w:r>
      <w:bookmarkEnd w:id="0"/>
      <w:r>
        <w:rPr>
          <w:rFonts w:ascii="Times New Roman" w:hAnsi="Times New Roman"/>
          <w:lang w:val="en"/>
        </w:rPr>
        <w:t>what the writer wanted us to know.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We would depend on language for the meaning to be clear, concise, and understandable.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We would expect meaning.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This is the purpose of language.</w:t>
      </w:r>
    </w:p>
    <w:p w:rsidR="004F74C2" w:rsidRDefault="004F74C2" w:rsidP="004F74C2">
      <w:pPr>
        <w:spacing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Believing that God created man to communicate</w:t>
      </w:r>
      <w:r w:rsidRPr="006B3D80">
        <w:rPr>
          <w:rStyle w:val="FootnoteReference"/>
        </w:rPr>
        <w:footnoteReference w:id="8"/>
      </w:r>
      <w:r>
        <w:rPr>
          <w:rFonts w:ascii="Times New Roman" w:hAnsi="Times New Roman"/>
          <w:lang w:val="en"/>
        </w:rPr>
        <w:t xml:space="preserve">, we must understand the place of language in the communication of man to God (worship, adoration, obedient lifestyle) and </w:t>
      </w:r>
      <w:r>
        <w:rPr>
          <w:rFonts w:ascii="Times New Roman" w:hAnsi="Times New Roman"/>
          <w:lang w:val="en"/>
        </w:rPr>
        <w:lastRenderedPageBreak/>
        <w:t>revelation (God’s communication of His will to humanity).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In this sense, language is a covenant between God and man.</w:t>
      </w:r>
      <w:r w:rsidRPr="006B3D80">
        <w:rPr>
          <w:rStyle w:val="FootnoteReference"/>
        </w:rPr>
        <w:footnoteReference w:id="9"/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It is the way God has determined that we know and understand His thinking.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If this is true, then it is also true that man, who is created in God’s image, will honor a covenant of language within its culture/society.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We do this by accepting the same understanding of the words used.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From these words, thoughts and ideas are communicated.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If language difference are encountered (French to Spanish; English to Russian), parallels are found that communicate the idea expressed.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Even in difficult to understand idioms, enough communication will eventually resolve the problem and allow comprehension.</w:t>
      </w:r>
      <w:r w:rsidRPr="006B3D80">
        <w:rPr>
          <w:rStyle w:val="FootnoteReference"/>
        </w:rPr>
        <w:footnoteReference w:id="10"/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If we can agree on this, then we will understand the following:</w:t>
      </w:r>
    </w:p>
    <w:p w:rsidR="004F74C2" w:rsidRPr="00EC7D6C" w:rsidRDefault="004F74C2" w:rsidP="004F74C2">
      <w:pPr>
        <w:shd w:val="clear" w:color="auto" w:fill="F8FCFF"/>
        <w:ind w:left="720" w:right="720"/>
        <w:rPr>
          <w:rFonts w:ascii="Times New Roman" w:hAnsi="Times New Roman"/>
        </w:rPr>
      </w:pPr>
      <w:r w:rsidRPr="00EC7D6C">
        <w:rPr>
          <w:rFonts w:ascii="Times New Roman" w:hAnsi="Times New Roman"/>
        </w:rPr>
        <w:t xml:space="preserve">Language is purposive “in that there is nearly always in human speech a definite intention of getting something over to somebody else, altering his </w:t>
      </w:r>
      <w:proofErr w:type="spellStart"/>
      <w:r w:rsidRPr="00EC7D6C">
        <w:rPr>
          <w:rFonts w:ascii="Times New Roman" w:hAnsi="Times New Roman"/>
        </w:rPr>
        <w:t>behaviour</w:t>
      </w:r>
      <w:proofErr w:type="spellEnd"/>
      <w:r w:rsidRPr="00EC7D6C">
        <w:rPr>
          <w:rFonts w:ascii="Times New Roman" w:hAnsi="Times New Roman"/>
        </w:rPr>
        <w:t>, his thoughts, or his general attitude toward a situation.”</w:t>
      </w:r>
      <w:r w:rsidR="0068591D">
        <w:rPr>
          <w:rFonts w:ascii="Times New Roman" w:hAnsi="Times New Roman"/>
        </w:rPr>
        <w:t xml:space="preserve"> </w:t>
      </w:r>
      <w:r w:rsidRPr="00EC7D6C">
        <w:rPr>
          <w:rFonts w:ascii="Times New Roman" w:hAnsi="Times New Roman"/>
        </w:rPr>
        <w:t xml:space="preserve">Human language is “Syntactic” in that an utterance is a performance with an internal </w:t>
      </w:r>
      <w:proofErr w:type="spellStart"/>
      <w:r w:rsidRPr="00EC7D6C">
        <w:rPr>
          <w:rFonts w:ascii="Times New Roman" w:hAnsi="Times New Roman"/>
        </w:rPr>
        <w:t>organisation</w:t>
      </w:r>
      <w:proofErr w:type="spellEnd"/>
      <w:r w:rsidRPr="00EC7D6C">
        <w:rPr>
          <w:rFonts w:ascii="Times New Roman" w:hAnsi="Times New Roman"/>
        </w:rPr>
        <w:t>, with structure and coherence.</w:t>
      </w:r>
      <w:r w:rsidR="0068591D">
        <w:rPr>
          <w:rFonts w:ascii="Times New Roman" w:hAnsi="Times New Roman"/>
        </w:rPr>
        <w:t xml:space="preserve"> </w:t>
      </w:r>
      <w:r w:rsidRPr="00EC7D6C">
        <w:rPr>
          <w:rFonts w:ascii="Times New Roman" w:hAnsi="Times New Roman"/>
        </w:rPr>
        <w:t>It is “propositional” in that it transmits information.</w:t>
      </w:r>
      <w:r w:rsidRPr="006B3D80">
        <w:rPr>
          <w:rStyle w:val="FootnoteReference"/>
        </w:rPr>
        <w:footnoteReference w:id="11"/>
      </w:r>
    </w:p>
    <w:p w:rsidR="004F74C2" w:rsidRDefault="004F74C2" w:rsidP="004F74C2">
      <w:pPr>
        <w:spacing w:before="240" w:line="48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Chomsky indicates that language expresses its purpose with organization (syntactic) and content (propositional).</w:t>
      </w:r>
      <w:r w:rsidR="006859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If an English-speaking person listens to a conversation between two Koreans, the sounds of the language seem like the chatter of animals.</w:t>
      </w:r>
      <w:r w:rsidR="006859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To the Koreans, communication is happening because their language has structure, content, and expresses the individual thoughts of the speakers.</w:t>
      </w:r>
    </w:p>
    <w:p w:rsidR="004F74C2" w:rsidRDefault="004F74C2" w:rsidP="004F74C2">
      <w:pPr>
        <w:spacing w:line="48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Using language, all of communicating humanity attempts to express meaning with its statements.</w:t>
      </w:r>
      <w:r w:rsidR="006859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Few speak without meaning.</w:t>
      </w:r>
      <w:r w:rsidR="006859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Only a baby utters indistinguishable sounds, which are accepted as normal.</w:t>
      </w:r>
      <w:r w:rsidR="006859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The parents understand that the baby’s “expressions” are intended to </w:t>
      </w:r>
      <w:r>
        <w:rPr>
          <w:rFonts w:ascii="Times New Roman" w:hAnsi="Times New Roman"/>
          <w:color w:val="000000"/>
        </w:rPr>
        <w:lastRenderedPageBreak/>
        <w:t>communicate an attitude (I’m happy) or inquisitive nature (Look at the shiny objects).</w:t>
      </w:r>
      <w:r w:rsidR="006859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When people learn that language can convey ideas, meanings are introduced into the sounds.</w:t>
      </w:r>
    </w:p>
    <w:p w:rsidR="004F74C2" w:rsidRPr="00724611" w:rsidRDefault="004F74C2" w:rsidP="004F74C2">
      <w:pPr>
        <w:ind w:left="720" w:right="720"/>
        <w:rPr>
          <w:rFonts w:ascii="Times New Roman" w:hAnsi="Times New Roman"/>
          <w:lang w:val="en"/>
        </w:rPr>
      </w:pPr>
      <w:r w:rsidRPr="00724611">
        <w:rPr>
          <w:rFonts w:ascii="Times New Roman" w:hAnsi="Times New Roman"/>
          <w:color w:val="000000"/>
        </w:rPr>
        <w:t>Grice's conception of speaker's meaning rests ultimately on a conception of conventional meaning or, in Grice's terminology, timeless meaning.</w:t>
      </w:r>
      <w:r w:rsidR="0068591D">
        <w:rPr>
          <w:rFonts w:ascii="Times New Roman" w:hAnsi="Times New Roman"/>
          <w:color w:val="000000"/>
        </w:rPr>
        <w:t xml:space="preserve"> </w:t>
      </w:r>
      <w:r w:rsidRPr="00724611">
        <w:rPr>
          <w:rFonts w:ascii="Times New Roman" w:hAnsi="Times New Roman"/>
          <w:color w:val="000000"/>
        </w:rPr>
        <w:t>That a certain form of words has a timeless meaning is normally necessary if a speaker is to reasonably expect that an utterance of that form of words will produce the intended effect.</w:t>
      </w:r>
      <w:r w:rsidR="0068591D">
        <w:rPr>
          <w:rFonts w:ascii="Times New Roman" w:hAnsi="Times New Roman"/>
          <w:color w:val="000000"/>
        </w:rPr>
        <w:t xml:space="preserve"> </w:t>
      </w:r>
      <w:r w:rsidRPr="00724611">
        <w:rPr>
          <w:rFonts w:ascii="Times New Roman" w:hAnsi="Times New Roman"/>
          <w:color w:val="000000"/>
        </w:rPr>
        <w:t>Grice's view was that that timeless meaning could in turn be explained in terms of speakers' intentions.</w:t>
      </w:r>
      <w:r w:rsidRPr="006B3D80">
        <w:rPr>
          <w:rStyle w:val="FootnoteReference"/>
        </w:rPr>
        <w:footnoteReference w:id="12"/>
      </w:r>
    </w:p>
    <w:p w:rsidR="004F74C2" w:rsidRDefault="004F74C2" w:rsidP="004F74C2">
      <w:pPr>
        <w:spacing w:before="240"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From this covenant of language with structure and meaning</w:t>
      </w:r>
      <w:r w:rsidRPr="006B3D80">
        <w:rPr>
          <w:rStyle w:val="FootnoteReference"/>
        </w:rPr>
        <w:footnoteReference w:id="13"/>
      </w:r>
      <w:r>
        <w:rPr>
          <w:rFonts w:ascii="Times New Roman" w:hAnsi="Times New Roman"/>
          <w:lang w:val="en"/>
        </w:rPr>
        <w:t>, we encourage the believer to realize that the biblical writers’ and church fathers’ intentions would have been equally clear in their communications.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Even with the influence of Greek (Platonic) thinking, as late as the second century, the language regarding the Eucharist was concise, matching the canonical writings accepted by the church.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This will be demonstrated later.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The fact that for two centuries, the language was exact, not shrouded, provides a reason for moving from a symbolic meaning to a more literal understanding of the sacrament.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In other words, the writers assumed that their audience would accept the teaching at face value without the need to mystify it.</w:t>
      </w:r>
      <w:r w:rsidR="0068591D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There is enough </w:t>
      </w:r>
      <w:proofErr w:type="spellStart"/>
      <w:r>
        <w:rPr>
          <w:rFonts w:ascii="Times New Roman" w:hAnsi="Times New Roman"/>
          <w:lang w:val="en"/>
        </w:rPr>
        <w:t>myster</w:t>
      </w:r>
      <w:proofErr w:type="spellEnd"/>
      <w:r>
        <w:rPr>
          <w:rFonts w:ascii="Times New Roman" w:hAnsi="Times New Roman"/>
          <w:lang w:val="en"/>
        </w:rPr>
        <w:t xml:space="preserve"> in how God has extended salvation to us without the worshipper adding mystery with symbolic language.</w:t>
      </w:r>
    </w:p>
    <w:p w:rsidR="00B131C0" w:rsidRDefault="00B131C0"/>
    <w:sectPr w:rsidR="00B1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07" w:rsidRDefault="00887E07" w:rsidP="004F74C2">
      <w:r>
        <w:separator/>
      </w:r>
    </w:p>
  </w:endnote>
  <w:endnote w:type="continuationSeparator" w:id="0">
    <w:p w:rsidR="00887E07" w:rsidRDefault="00887E07" w:rsidP="004F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07" w:rsidRDefault="00887E07" w:rsidP="004F74C2">
      <w:r>
        <w:separator/>
      </w:r>
    </w:p>
  </w:footnote>
  <w:footnote w:type="continuationSeparator" w:id="0">
    <w:p w:rsidR="00887E07" w:rsidRDefault="00887E07" w:rsidP="004F74C2">
      <w:r>
        <w:continuationSeparator/>
      </w:r>
    </w:p>
  </w:footnote>
  <w:footnote w:id="1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Non-natural, for Grice, is the concept of meaning outside the obvious.</w:t>
      </w:r>
    </w:p>
  </w:footnote>
  <w:footnote w:id="2">
    <w:p w:rsidR="004F74C2" w:rsidRPr="0033557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Searle, J. R., </w:t>
      </w:r>
      <w:proofErr w:type="spellStart"/>
      <w:r>
        <w:t>ed</w:t>
      </w:r>
      <w:proofErr w:type="spellEnd"/>
      <w:r>
        <w:t xml:space="preserve">, </w:t>
      </w:r>
      <w:r w:rsidRPr="00335572">
        <w:rPr>
          <w:i/>
          <w:iCs/>
        </w:rPr>
        <w:t>The Philosophy of</w:t>
      </w:r>
      <w:r>
        <w:t xml:space="preserve"> </w:t>
      </w:r>
      <w:r>
        <w:rPr>
          <w:i/>
          <w:iCs/>
        </w:rPr>
        <w:t>Language</w:t>
      </w:r>
      <w:r>
        <w:t xml:space="preserve"> (Oxford: Oxford University Press, 1971), 28</w:t>
      </w:r>
    </w:p>
  </w:footnote>
  <w:footnote w:id="3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</w:t>
      </w:r>
      <w:proofErr w:type="gramStart"/>
      <w:r>
        <w:t>Ibid.</w:t>
      </w:r>
      <w:proofErr w:type="gramEnd"/>
      <w:r>
        <w:t xml:space="preserve"> </w:t>
      </w:r>
    </w:p>
  </w:footnote>
  <w:footnote w:id="4">
    <w:p w:rsidR="004F74C2" w:rsidRPr="00DD2C9F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The actual argument reads, “</w:t>
      </w:r>
      <w:r>
        <w:rPr>
          <w:i/>
          <w:iCs/>
        </w:rPr>
        <w:t>S</w:t>
      </w:r>
      <w:r>
        <w:t xml:space="preserve"> </w:t>
      </w:r>
      <w:proofErr w:type="spellStart"/>
      <w:r>
        <w:t>nonnaturally</w:t>
      </w:r>
      <w:proofErr w:type="spellEnd"/>
      <w:r>
        <w:t xml:space="preserve"> means something by an utterance </w:t>
      </w:r>
      <w:r>
        <w:rPr>
          <w:i/>
          <w:iCs/>
        </w:rPr>
        <w:t>x</w:t>
      </w:r>
      <w:r>
        <w:t xml:space="preserve"> if </w:t>
      </w:r>
      <w:r>
        <w:rPr>
          <w:i/>
          <w:iCs/>
        </w:rPr>
        <w:t>S</w:t>
      </w:r>
      <w:r>
        <w:t xml:space="preserve"> intends </w:t>
      </w:r>
      <w:r>
        <w:rPr>
          <w:lang w:val="en"/>
        </w:rPr>
        <w:t>(</w:t>
      </w:r>
      <w:r w:rsidRPr="00BE2D35">
        <w:rPr>
          <w:i/>
          <w:iCs/>
          <w:lang w:val="en"/>
        </w:rPr>
        <w:t>i</w:t>
      </w:r>
      <w:r w:rsidRPr="00BE2D35">
        <w:rPr>
          <w:vertAlign w:val="subscript"/>
          <w:lang w:val="en"/>
        </w:rPr>
        <w:t>1</w:t>
      </w:r>
      <w:r>
        <w:rPr>
          <w:lang w:val="en"/>
        </w:rPr>
        <w:t xml:space="preserve">) to produce by uttering </w:t>
      </w:r>
      <w:r>
        <w:rPr>
          <w:i/>
          <w:iCs/>
          <w:lang w:val="en"/>
        </w:rPr>
        <w:t>x</w:t>
      </w:r>
      <w:r>
        <w:rPr>
          <w:lang w:val="en"/>
        </w:rPr>
        <w:t xml:space="preserve"> a certain response (r) in an audience </w:t>
      </w:r>
      <w:r>
        <w:rPr>
          <w:i/>
          <w:iCs/>
          <w:lang w:val="en"/>
        </w:rPr>
        <w:t>A</w:t>
      </w:r>
      <w:r>
        <w:rPr>
          <w:lang w:val="en"/>
        </w:rPr>
        <w:t xml:space="preserve"> and intends (</w:t>
      </w:r>
      <w:r w:rsidRPr="00BE2D35">
        <w:rPr>
          <w:i/>
          <w:iCs/>
          <w:lang w:val="en"/>
        </w:rPr>
        <w:t>i</w:t>
      </w:r>
      <w:r>
        <w:rPr>
          <w:vertAlign w:val="subscript"/>
          <w:lang w:val="en"/>
        </w:rPr>
        <w:t>2</w:t>
      </w:r>
      <w:r>
        <w:rPr>
          <w:lang w:val="en"/>
        </w:rPr>
        <w:t xml:space="preserve">) that </w:t>
      </w:r>
      <w:r>
        <w:rPr>
          <w:i/>
          <w:iCs/>
          <w:lang w:val="en"/>
        </w:rPr>
        <w:t>A</w:t>
      </w:r>
      <w:r>
        <w:rPr>
          <w:lang w:val="en"/>
        </w:rPr>
        <w:t xml:space="preserve"> shall recognize </w:t>
      </w:r>
      <w:r>
        <w:rPr>
          <w:i/>
          <w:iCs/>
          <w:lang w:val="en"/>
        </w:rPr>
        <w:t>S’s</w:t>
      </w:r>
      <w:r>
        <w:rPr>
          <w:lang w:val="en"/>
        </w:rPr>
        <w:t xml:space="preserve"> intention (</w:t>
      </w:r>
      <w:r w:rsidRPr="00BE2D35">
        <w:rPr>
          <w:i/>
          <w:iCs/>
          <w:lang w:val="en"/>
        </w:rPr>
        <w:t>i</w:t>
      </w:r>
      <w:r w:rsidRPr="00BE2D35">
        <w:rPr>
          <w:vertAlign w:val="subscript"/>
          <w:lang w:val="en"/>
        </w:rPr>
        <w:t>1</w:t>
      </w:r>
      <w:r>
        <w:rPr>
          <w:lang w:val="en"/>
        </w:rPr>
        <w:t>) and intends (</w:t>
      </w:r>
      <w:r w:rsidRPr="00CA7302">
        <w:rPr>
          <w:i/>
          <w:iCs/>
          <w:lang w:val="en"/>
        </w:rPr>
        <w:t>i</w:t>
      </w:r>
      <w:r w:rsidRPr="00CA7302">
        <w:rPr>
          <w:vertAlign w:val="subscript"/>
          <w:lang w:val="en"/>
        </w:rPr>
        <w:t>3</w:t>
      </w:r>
      <w:r>
        <w:rPr>
          <w:lang w:val="en"/>
        </w:rPr>
        <w:t xml:space="preserve">) that this </w:t>
      </w:r>
      <w:proofErr w:type="spellStart"/>
      <w:r>
        <w:rPr>
          <w:lang w:val="en"/>
        </w:rPr>
        <w:t>recoginition</w:t>
      </w:r>
      <w:proofErr w:type="spellEnd"/>
      <w:r>
        <w:rPr>
          <w:lang w:val="en"/>
        </w:rPr>
        <w:t xml:space="preserve"> on the part of </w:t>
      </w:r>
      <w:r>
        <w:rPr>
          <w:i/>
          <w:iCs/>
          <w:lang w:val="en"/>
        </w:rPr>
        <w:t>A</w:t>
      </w:r>
      <w:r>
        <w:rPr>
          <w:lang w:val="en"/>
        </w:rPr>
        <w:t xml:space="preserve"> of </w:t>
      </w:r>
      <w:r>
        <w:rPr>
          <w:i/>
          <w:iCs/>
          <w:lang w:val="en"/>
        </w:rPr>
        <w:t>S</w:t>
      </w:r>
      <w:r>
        <w:rPr>
          <w:lang w:val="en"/>
        </w:rPr>
        <w:t>’s intention</w:t>
      </w:r>
      <w:r w:rsidR="0068591D">
        <w:rPr>
          <w:lang w:val="en"/>
        </w:rPr>
        <w:t xml:space="preserve"> </w:t>
      </w:r>
      <w:r>
        <w:rPr>
          <w:lang w:val="en"/>
        </w:rPr>
        <w:t>(</w:t>
      </w:r>
      <w:r w:rsidRPr="00BE2D35">
        <w:rPr>
          <w:i/>
          <w:iCs/>
          <w:lang w:val="en"/>
        </w:rPr>
        <w:t>i</w:t>
      </w:r>
      <w:r w:rsidRPr="00BE2D35">
        <w:rPr>
          <w:vertAlign w:val="subscript"/>
          <w:lang w:val="en"/>
        </w:rPr>
        <w:t>1</w:t>
      </w:r>
      <w:r>
        <w:rPr>
          <w:lang w:val="en"/>
        </w:rPr>
        <w:t xml:space="preserve">) shall function as </w:t>
      </w:r>
      <w:r>
        <w:rPr>
          <w:i/>
          <w:iCs/>
          <w:lang w:val="en"/>
        </w:rPr>
        <w:t>A</w:t>
      </w:r>
      <w:r>
        <w:rPr>
          <w:lang w:val="en"/>
        </w:rPr>
        <w:t xml:space="preserve">’s reason or a part of his reason, for his response </w:t>
      </w:r>
      <w:r>
        <w:rPr>
          <w:i/>
          <w:iCs/>
          <w:lang w:val="en"/>
        </w:rPr>
        <w:t>r</w:t>
      </w:r>
      <w:r>
        <w:rPr>
          <w:lang w:val="en"/>
        </w:rPr>
        <w:t>.”</w:t>
      </w:r>
      <w:r w:rsidR="0068591D">
        <w:rPr>
          <w:lang w:val="en"/>
        </w:rPr>
        <w:t xml:space="preserve"> </w:t>
      </w:r>
      <w:r>
        <w:rPr>
          <w:lang w:val="en"/>
        </w:rPr>
        <w:t>(</w:t>
      </w:r>
      <w:r>
        <w:t xml:space="preserve">Searle, </w:t>
      </w:r>
      <w:r w:rsidRPr="00335572">
        <w:rPr>
          <w:i/>
          <w:iCs/>
        </w:rPr>
        <w:t>The Philosophy of</w:t>
      </w:r>
      <w:r>
        <w:t xml:space="preserve"> </w:t>
      </w:r>
      <w:r>
        <w:rPr>
          <w:i/>
          <w:iCs/>
        </w:rPr>
        <w:t>Language)</w:t>
      </w:r>
    </w:p>
  </w:footnote>
  <w:footnote w:id="5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Paul states that he intended on coming to see them (</w:t>
      </w:r>
      <w:smartTag w:uri="urn:schemas-microsoft-com:office:smarttags" w:element="time">
        <w:smartTagPr>
          <w:attr w:name="Minute" w:val="11"/>
          <w:attr w:name="Hour" w:val="13"/>
        </w:smartTagPr>
        <w:r>
          <w:t>1:11</w:t>
        </w:r>
      </w:smartTag>
      <w:r>
        <w:t xml:space="preserve">-13) to impart spiritual gifts and give them the opportunity to support him in his mission 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(</w:t>
      </w:r>
      <w:smartTag w:uri="urn:schemas-microsoft-com:office:smarttags" w:element="time">
        <w:smartTagPr>
          <w:attr w:name="Minute" w:val="22"/>
          <w:attr w:name="Hour" w:val="15"/>
        </w:smartTagPr>
        <w:r>
          <w:t>15:22</w:t>
        </w:r>
      </w:smartTag>
      <w:r>
        <w:t xml:space="preserve">).  </w:t>
      </w:r>
    </w:p>
  </w:footnote>
  <w:footnote w:id="6">
    <w:p w:rsidR="004F74C2" w:rsidRPr="00106947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Guthrie, Donald, </w:t>
      </w:r>
      <w:r>
        <w:rPr>
          <w:i/>
          <w:iCs/>
        </w:rPr>
        <w:t>New Testament Introduction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Downers Grove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: Inter-Varsity Press), 397</w:t>
      </w:r>
    </w:p>
  </w:footnote>
  <w:footnote w:id="7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i.e., </w:t>
      </w:r>
      <w:proofErr w:type="spellStart"/>
      <w:r>
        <w:t>T</w:t>
      </w:r>
      <w:r>
        <w:rPr>
          <w:lang w:val="en"/>
        </w:rPr>
        <w:t>o</w:t>
      </w:r>
      <w:proofErr w:type="spellEnd"/>
      <w:r>
        <w:rPr>
          <w:lang w:val="en"/>
        </w:rPr>
        <w:t xml:space="preserve"> teach—Romans 15:4; To remind—Romans </w:t>
      </w:r>
      <w:smartTag w:uri="urn:schemas-microsoft-com:office:smarttags" w:element="time">
        <w:smartTagPr>
          <w:attr w:name="Minute" w:val="15"/>
          <w:attr w:name="Hour" w:val="15"/>
        </w:smartTagPr>
        <w:r>
          <w:rPr>
            <w:lang w:val="en"/>
          </w:rPr>
          <w:t>15:15</w:t>
        </w:r>
      </w:smartTag>
      <w:r>
        <w:rPr>
          <w:lang w:val="en"/>
        </w:rPr>
        <w:t xml:space="preserve">; A directive—1 Corinthians 5:9; Encouragement—1 Peter 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lang w:val="en"/>
          </w:rPr>
          <w:t>5:12</w:t>
        </w:r>
      </w:smartTag>
      <w:r>
        <w:rPr>
          <w:lang w:val="en"/>
        </w:rPr>
        <w:t>; to stimulate—2 Peter 3:1; Blessings—Revelation 1:3</w:t>
      </w:r>
    </w:p>
  </w:footnote>
  <w:footnote w:id="8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After creating man, God blessed them and then spoke to them (Genesis </w:t>
      </w:r>
      <w:smartTag w:uri="urn:schemas-microsoft-com:office:smarttags" w:element="time">
        <w:smartTagPr>
          <w:attr w:name="Minute" w:val="28"/>
          <w:attr w:name="Hour" w:val="13"/>
        </w:smartTagPr>
        <w:r>
          <w:t>1:28</w:t>
        </w:r>
      </w:smartTag>
      <w:r>
        <w:t>)</w:t>
      </w:r>
    </w:p>
  </w:footnote>
  <w:footnote w:id="9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I was first introduced to this idea in an exposition of the Book of Ephesians at the National Missionary Convention held in </w:t>
      </w:r>
      <w:smartTag w:uri="urn:schemas-microsoft-com:office:smarttags" w:element="place">
        <w:smartTag w:uri="urn:schemas-microsoft-com:office:smarttags" w:element="City">
          <w:r>
            <w:t>Knoxville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</w:smartTag>
      <w:r>
        <w:t xml:space="preserve"> in 1979.</w:t>
      </w:r>
      <w:r w:rsidR="0068591D">
        <w:t xml:space="preserve"> </w:t>
      </w:r>
      <w:r>
        <w:t xml:space="preserve">Dr. Mont Smith from </w:t>
      </w:r>
      <w:smartTag w:uri="urn:schemas-microsoft-com:office:smarttags" w:element="place">
        <w:smartTag w:uri="urn:schemas-microsoft-com:office:smarttags" w:element="PlaceName">
          <w:r>
            <w:t>Pacific</w:t>
          </w:r>
        </w:smartTag>
        <w:r>
          <w:t xml:space="preserve"> </w:t>
        </w:r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 used this as a basis for the communication of revelation, esp. in the concept of covenant.</w:t>
      </w:r>
    </w:p>
  </w:footnote>
  <w:footnote w:id="10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My wife uses the example of a doctor from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who expressed that he was ‘down to ground.’</w:t>
      </w:r>
      <w:r w:rsidR="0068591D">
        <w:t xml:space="preserve"> </w:t>
      </w:r>
      <w:r>
        <w:t>A literal translation of the English ‘down to earth’ expressed the same idea but the meaning was not immediately perceived.</w:t>
      </w:r>
    </w:p>
  </w:footnote>
  <w:footnote w:id="11">
    <w:p w:rsidR="004F74C2" w:rsidRPr="00241259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Noam Chomsky, “Language and Mind; Linguistic contributions to the study of mind (future),” </w:t>
      </w:r>
      <w:proofErr w:type="gramStart"/>
      <w:r>
        <w:t>n.p</w:t>
      </w:r>
      <w:proofErr w:type="gramEnd"/>
      <w:r>
        <w:t>. [February, 2005]. Online:</w:t>
      </w:r>
      <w:r w:rsidRPr="00241259">
        <w:t>http://www.marxists.org/reference/subject/philosophy/works/us/chomsky.htm</w:t>
      </w:r>
    </w:p>
  </w:footnote>
  <w:footnote w:id="12">
    <w:p w:rsidR="004F74C2" w:rsidRPr="00724611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Quoted in </w:t>
      </w:r>
      <w:r>
        <w:rPr>
          <w:i/>
          <w:iCs/>
        </w:rPr>
        <w:t>Philosophy of Mind</w:t>
      </w:r>
      <w:r>
        <w:t xml:space="preserve">, “Grice, Herbert Paul, online at: </w:t>
      </w:r>
      <w:r w:rsidRPr="00724611">
        <w:t>http://www.artsci.wustl.edu/~philos/MindDict/grice.html</w:t>
      </w:r>
    </w:p>
  </w:footnote>
  <w:footnote w:id="13">
    <w:p w:rsidR="004F74C2" w:rsidRDefault="004F74C2" w:rsidP="004F74C2">
      <w:pPr>
        <w:pStyle w:val="FootnoteText"/>
      </w:pPr>
      <w:r w:rsidRPr="006B3D80">
        <w:rPr>
          <w:rStyle w:val="FootnoteReference"/>
        </w:rPr>
        <w:footnoteRef/>
      </w:r>
      <w:r>
        <w:t xml:space="preserve"> The Greek and Latin of the New Testament and Church Fathers can be scientifically analyzed based on extant writings.</w:t>
      </w:r>
      <w:r w:rsidR="0068591D">
        <w:t xml:space="preserve"> </w:t>
      </w:r>
      <w:r>
        <w:t>These writings outside the early church documents convey the common usage of words, the syntax of the language, and idiomatic usages.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C2"/>
    <w:rsid w:val="00220F24"/>
    <w:rsid w:val="004F74C2"/>
    <w:rsid w:val="0068591D"/>
    <w:rsid w:val="00887E07"/>
    <w:rsid w:val="00A17123"/>
    <w:rsid w:val="00AF02FA"/>
    <w:rsid w:val="00B131C0"/>
    <w:rsid w:val="00D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74C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4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F7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74C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4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F7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McCuistion</dc:creator>
  <cp:lastModifiedBy>Paul R. McCuistion</cp:lastModifiedBy>
  <cp:revision>2</cp:revision>
  <dcterms:created xsi:type="dcterms:W3CDTF">2015-07-13T03:47:00Z</dcterms:created>
  <dcterms:modified xsi:type="dcterms:W3CDTF">2015-07-13T03:54:00Z</dcterms:modified>
</cp:coreProperties>
</file>